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1979B" w14:textId="135B11F0" w:rsidR="009C46F0" w:rsidRPr="00384DCF" w:rsidRDefault="002432CD" w:rsidP="007637A1">
      <w:pPr>
        <w:rPr>
          <w:highlight w:val="magenta"/>
          <w:lang w:val="en-US"/>
        </w:rPr>
      </w:pPr>
      <w:r w:rsidRPr="002432CD">
        <w:rPr>
          <w:lang w:val="en-US"/>
        </w:rPr>
        <w:drawing>
          <wp:anchor distT="0" distB="0" distL="114300" distR="114300" simplePos="0" relativeHeight="251662335" behindDoc="0" locked="0" layoutInCell="1" allowOverlap="1" wp14:anchorId="7E30C109" wp14:editId="57C19606">
            <wp:simplePos x="0" y="0"/>
            <wp:positionH relativeFrom="page">
              <wp:posOffset>734695</wp:posOffset>
            </wp:positionH>
            <wp:positionV relativeFrom="paragraph">
              <wp:posOffset>33020</wp:posOffset>
            </wp:positionV>
            <wp:extent cx="1917065" cy="402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065" cy="402590"/>
                    </a:xfrm>
                    <a:prstGeom prst="rect">
                      <a:avLst/>
                    </a:prstGeom>
                  </pic:spPr>
                </pic:pic>
              </a:graphicData>
            </a:graphic>
            <wp14:sizeRelH relativeFrom="page">
              <wp14:pctWidth>0</wp14:pctWidth>
            </wp14:sizeRelH>
            <wp14:sizeRelV relativeFrom="page">
              <wp14:pctHeight>0</wp14:pctHeight>
            </wp14:sizeRelV>
          </wp:anchor>
        </w:drawing>
      </w:r>
      <w:r w:rsidRPr="002432CD">
        <w:rPr>
          <w:highlight w:val="magenta"/>
          <w:lang w:val="en-US"/>
        </w:rPr>
        <w:drawing>
          <wp:anchor distT="0" distB="0" distL="114300" distR="114300" simplePos="0" relativeHeight="251661311" behindDoc="0" locked="0" layoutInCell="1" allowOverlap="1" wp14:anchorId="05C4C528" wp14:editId="27CBE0F5">
            <wp:simplePos x="0" y="0"/>
            <wp:positionH relativeFrom="column">
              <wp:posOffset>-35560</wp:posOffset>
            </wp:positionH>
            <wp:positionV relativeFrom="paragraph">
              <wp:posOffset>-605155</wp:posOffset>
            </wp:positionV>
            <wp:extent cx="1238885" cy="685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new logo - small - Jan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885" cy="685165"/>
                    </a:xfrm>
                    <a:prstGeom prst="rect">
                      <a:avLst/>
                    </a:prstGeom>
                  </pic:spPr>
                </pic:pic>
              </a:graphicData>
            </a:graphic>
            <wp14:sizeRelH relativeFrom="page">
              <wp14:pctWidth>0</wp14:pctWidth>
            </wp14:sizeRelH>
            <wp14:sizeRelV relativeFrom="page">
              <wp14:pctHeight>0</wp14:pctHeight>
            </wp14:sizeRelV>
          </wp:anchor>
        </w:drawing>
      </w:r>
    </w:p>
    <w:p w14:paraId="1BD61EC4" w14:textId="31C43386" w:rsidR="002432CD" w:rsidRDefault="002432CD" w:rsidP="00756765">
      <w:pPr>
        <w:tabs>
          <w:tab w:val="left" w:pos="540"/>
        </w:tabs>
        <w:rPr>
          <w:b/>
          <w:u w:val="single"/>
          <w:lang w:val="en-US"/>
        </w:rPr>
      </w:pPr>
    </w:p>
    <w:p w14:paraId="0066FA68" w14:textId="77777777" w:rsidR="002432CD" w:rsidRDefault="002432CD" w:rsidP="00756765">
      <w:pPr>
        <w:tabs>
          <w:tab w:val="left" w:pos="540"/>
        </w:tabs>
        <w:rPr>
          <w:b/>
          <w:u w:val="single"/>
          <w:lang w:val="en-US"/>
        </w:rPr>
      </w:pPr>
    </w:p>
    <w:p w14:paraId="1294E812" w14:textId="2094042D" w:rsidR="00756765" w:rsidRPr="00384DCF" w:rsidRDefault="002432CD" w:rsidP="00756765">
      <w:pPr>
        <w:tabs>
          <w:tab w:val="left" w:pos="540"/>
        </w:tabs>
        <w:rPr>
          <w:b/>
          <w:u w:val="single"/>
          <w:lang w:val="en-US"/>
        </w:rPr>
      </w:pPr>
      <w:r>
        <w:rPr>
          <w:b/>
          <w:u w:val="single"/>
          <w:lang w:val="en-US"/>
        </w:rPr>
        <w:t>T</w:t>
      </w:r>
      <w:r w:rsidR="00756765" w:rsidRPr="00384DCF">
        <w:rPr>
          <w:b/>
          <w:u w:val="single"/>
          <w:lang w:val="en-US"/>
        </w:rPr>
        <w:t>he Income Security Advocacy Centre</w:t>
      </w:r>
    </w:p>
    <w:p w14:paraId="7597BA26" w14:textId="3A1DB28D" w:rsidR="00756765" w:rsidRPr="00384DCF" w:rsidRDefault="00756765" w:rsidP="00756765">
      <w:pPr>
        <w:tabs>
          <w:tab w:val="left" w:pos="540"/>
        </w:tabs>
        <w:rPr>
          <w:lang w:val="en-US"/>
        </w:rPr>
      </w:pPr>
      <w:bookmarkStart w:id="0" w:name="_GoBack"/>
      <w:bookmarkEnd w:id="0"/>
    </w:p>
    <w:p w14:paraId="58CD4C2C" w14:textId="539FA830" w:rsidR="00756765" w:rsidRPr="00384DCF" w:rsidRDefault="00756765" w:rsidP="00756765">
      <w:pPr>
        <w:tabs>
          <w:tab w:val="left" w:pos="540"/>
        </w:tabs>
        <w:rPr>
          <w:lang w:val="en-US"/>
        </w:rPr>
      </w:pPr>
      <w:r w:rsidRPr="00384DCF">
        <w:rPr>
          <w:lang w:val="en-US"/>
        </w:rPr>
        <w:t xml:space="preserve">The Income Security Advocacy Centre (ISAC) is a specialty legal clinic funded by Legal Aid Ontario. ISAC’s mandate is to advance the rights and interests of low-income Ontarians with respect to income security and employment. We carry out our mandate through test case litigation, policy advocacy, community </w:t>
      </w:r>
      <w:r w:rsidR="00FE736C">
        <w:rPr>
          <w:lang w:val="en-US"/>
        </w:rPr>
        <w:t>organizing</w:t>
      </w:r>
      <w:r w:rsidR="00124A45">
        <w:rPr>
          <w:lang w:val="en-US"/>
        </w:rPr>
        <w:t>,</w:t>
      </w:r>
      <w:r w:rsidR="00FE736C" w:rsidRPr="00384DCF">
        <w:rPr>
          <w:lang w:val="en-US"/>
        </w:rPr>
        <w:t xml:space="preserve"> and</w:t>
      </w:r>
      <w:r w:rsidRPr="00384DCF">
        <w:rPr>
          <w:lang w:val="en-US"/>
        </w:rPr>
        <w:t xml:space="preserve"> public education.</w:t>
      </w:r>
    </w:p>
    <w:p w14:paraId="56F0244D" w14:textId="77777777" w:rsidR="00756765" w:rsidRPr="00384DCF" w:rsidRDefault="00756765" w:rsidP="00756765">
      <w:pPr>
        <w:tabs>
          <w:tab w:val="left" w:pos="540"/>
        </w:tabs>
      </w:pPr>
    </w:p>
    <w:p w14:paraId="55AD8287" w14:textId="52F15B25" w:rsidR="00756765" w:rsidRPr="00384DCF" w:rsidRDefault="00756765" w:rsidP="00756765">
      <w:pPr>
        <w:tabs>
          <w:tab w:val="left" w:pos="540"/>
        </w:tabs>
      </w:pPr>
      <w:r w:rsidRPr="00384DCF">
        <w:t>Founded in 2001, we are governed by a community Board of Directors representative of all regions of Ontario. Our Board includes legal clinic caseworkers and people who identify as low-income, with representation from Indigenous communities, racialized communities, people with disabilities</w:t>
      </w:r>
      <w:r w:rsidR="00124A45">
        <w:t>,</w:t>
      </w:r>
      <w:r w:rsidRPr="00384DCF">
        <w:t xml:space="preserve"> and</w:t>
      </w:r>
      <w:r w:rsidR="00926127">
        <w:t xml:space="preserve"> individuals who rely on</w:t>
      </w:r>
      <w:r w:rsidRPr="00384DCF">
        <w:t xml:space="preserve"> income support benefit</w:t>
      </w:r>
      <w:r w:rsidR="00926127">
        <w:t>s</w:t>
      </w:r>
      <w:r w:rsidRPr="00384DCF">
        <w:t>.</w:t>
      </w:r>
    </w:p>
    <w:p w14:paraId="7C7545BD" w14:textId="77777777" w:rsidR="00756765" w:rsidRPr="00384DCF" w:rsidRDefault="00756765" w:rsidP="00756765">
      <w:pPr>
        <w:tabs>
          <w:tab w:val="left" w:pos="540"/>
        </w:tabs>
        <w:rPr>
          <w:highlight w:val="yellow"/>
          <w:lang w:val="en-US"/>
        </w:rPr>
      </w:pPr>
    </w:p>
    <w:p w14:paraId="3A01558D" w14:textId="77777777" w:rsidR="00756765" w:rsidRPr="004255E3" w:rsidRDefault="00756765" w:rsidP="00756765">
      <w:pPr>
        <w:tabs>
          <w:tab w:val="left" w:pos="540"/>
        </w:tabs>
        <w:rPr>
          <w:b/>
          <w:u w:val="single"/>
          <w:lang w:val="en-US"/>
        </w:rPr>
      </w:pPr>
      <w:r w:rsidRPr="004255E3">
        <w:rPr>
          <w:b/>
          <w:u w:val="single"/>
          <w:lang w:val="en-US"/>
        </w:rPr>
        <w:t xml:space="preserve">Recommendations </w:t>
      </w:r>
    </w:p>
    <w:p w14:paraId="603BDFA8" w14:textId="77777777" w:rsidR="00756765" w:rsidRPr="004255E3" w:rsidRDefault="00756765" w:rsidP="00756765"/>
    <w:p w14:paraId="74001D46" w14:textId="0F458325" w:rsidR="00756765" w:rsidRPr="004255E3" w:rsidRDefault="00756765" w:rsidP="00756765">
      <w:r w:rsidRPr="004255E3">
        <w:t xml:space="preserve">Informed by ongoing consultation with our community partners on issues relevant to our mandate, we make the following </w:t>
      </w:r>
      <w:r w:rsidR="00EF3F42">
        <w:t>eight</w:t>
      </w:r>
      <w:r w:rsidR="00DB4D45" w:rsidRPr="004255E3">
        <w:t xml:space="preserve"> </w:t>
      </w:r>
      <w:r w:rsidRPr="004255E3">
        <w:t xml:space="preserve">recommendations for the </w:t>
      </w:r>
      <w:r w:rsidR="00924EA1" w:rsidRPr="004255E3">
        <w:t xml:space="preserve">Spring </w:t>
      </w:r>
      <w:r w:rsidRPr="004255E3">
        <w:t>20</w:t>
      </w:r>
      <w:r w:rsidR="004255E3" w:rsidRPr="004255E3">
        <w:t>2</w:t>
      </w:r>
      <w:r w:rsidR="00926127">
        <w:t>3</w:t>
      </w:r>
      <w:r w:rsidRPr="004255E3">
        <w:t xml:space="preserve"> budget: </w:t>
      </w:r>
    </w:p>
    <w:p w14:paraId="7269E84A" w14:textId="77777777" w:rsidR="00F00268" w:rsidRPr="00CC7AAF" w:rsidRDefault="00F00268" w:rsidP="00F00268">
      <w:pPr>
        <w:autoSpaceDE w:val="0"/>
        <w:autoSpaceDN w:val="0"/>
        <w:adjustRightInd w:val="0"/>
        <w:ind w:right="-720"/>
        <w:rPr>
          <w:highlight w:val="yellow"/>
        </w:rPr>
      </w:pPr>
    </w:p>
    <w:p w14:paraId="72D3CEBF" w14:textId="1AB90315" w:rsidR="0046055E" w:rsidRPr="007C495D" w:rsidRDefault="006C1381" w:rsidP="0046055E">
      <w:pPr>
        <w:rPr>
          <w:b/>
          <w:u w:val="single"/>
        </w:rPr>
      </w:pPr>
      <w:r>
        <w:rPr>
          <w:b/>
          <w:u w:val="single"/>
        </w:rPr>
        <w:t>A</w:t>
      </w:r>
      <w:r w:rsidR="00933F12" w:rsidRPr="007C495D">
        <w:rPr>
          <w:b/>
          <w:u w:val="single"/>
        </w:rPr>
        <w:t xml:space="preserve">.  </w:t>
      </w:r>
      <w:r w:rsidR="0046055E" w:rsidRPr="007C495D">
        <w:rPr>
          <w:b/>
          <w:u w:val="single"/>
        </w:rPr>
        <w:t>Invest</w:t>
      </w:r>
      <w:r w:rsidR="004255E3" w:rsidRPr="007C495D">
        <w:rPr>
          <w:b/>
          <w:u w:val="single"/>
        </w:rPr>
        <w:t xml:space="preserve"> </w:t>
      </w:r>
      <w:r w:rsidR="0046055E" w:rsidRPr="007C495D">
        <w:rPr>
          <w:b/>
          <w:u w:val="single"/>
        </w:rPr>
        <w:t>in Income Security Programs</w:t>
      </w:r>
    </w:p>
    <w:p w14:paraId="327E9F39" w14:textId="77777777" w:rsidR="00EB1713" w:rsidRPr="007C495D" w:rsidRDefault="00EB1713" w:rsidP="00EB1713">
      <w:pPr>
        <w:rPr>
          <w:b/>
          <w:bCs/>
          <w:shd w:val="clear" w:color="auto" w:fill="FFFFFF"/>
        </w:rPr>
      </w:pPr>
    </w:p>
    <w:p w14:paraId="05B7D1C7" w14:textId="4CF902DE" w:rsidR="00EB1713" w:rsidRPr="007C495D" w:rsidRDefault="00EB1713" w:rsidP="00EB1713">
      <w:pPr>
        <w:numPr>
          <w:ilvl w:val="0"/>
          <w:numId w:val="5"/>
        </w:numPr>
        <w:contextualSpacing/>
        <w:rPr>
          <w:bCs/>
          <w:shd w:val="clear" w:color="auto" w:fill="FFFFFF"/>
        </w:rPr>
      </w:pPr>
      <w:r w:rsidRPr="007C495D">
        <w:rPr>
          <w:b/>
        </w:rPr>
        <w:t>Recommendation #</w:t>
      </w:r>
      <w:r w:rsidR="00AF2008">
        <w:rPr>
          <w:b/>
        </w:rPr>
        <w:t>1</w:t>
      </w:r>
      <w:r w:rsidRPr="007C495D">
        <w:rPr>
          <w:b/>
        </w:rPr>
        <w:t>:</w:t>
      </w:r>
      <w:r w:rsidRPr="007C495D">
        <w:t xml:space="preserve"> </w:t>
      </w:r>
      <w:r w:rsidRPr="007C495D">
        <w:rPr>
          <w:bCs/>
          <w:shd w:val="clear" w:color="auto" w:fill="FFFFFF"/>
        </w:rPr>
        <w:t>Raise social assistance rates and broaden access</w:t>
      </w:r>
    </w:p>
    <w:p w14:paraId="77F76893" w14:textId="77777777" w:rsidR="00EB1713" w:rsidRPr="007C495D" w:rsidRDefault="00EB1713" w:rsidP="00EB1713">
      <w:pPr>
        <w:tabs>
          <w:tab w:val="left" w:pos="-567"/>
        </w:tabs>
        <w:rPr>
          <w:bCs/>
          <w:shd w:val="clear" w:color="auto" w:fill="FFFFFF"/>
        </w:rPr>
      </w:pPr>
    </w:p>
    <w:p w14:paraId="6EFA83D2" w14:textId="77777777" w:rsidR="00500EBE" w:rsidRPr="006A1F9C" w:rsidRDefault="00500EBE" w:rsidP="00500EBE">
      <w:pPr>
        <w:pStyle w:val="ListParagraph"/>
        <w:numPr>
          <w:ilvl w:val="0"/>
          <w:numId w:val="6"/>
        </w:numPr>
        <w:rPr>
          <w:color w:val="000000" w:themeColor="text1"/>
        </w:rPr>
      </w:pPr>
      <w:r w:rsidRPr="006A1F9C">
        <w:rPr>
          <w:color w:val="000000" w:themeColor="text1"/>
        </w:rPr>
        <w:t>Increase Ontario Works</w:t>
      </w:r>
      <w:r>
        <w:rPr>
          <w:color w:val="000000" w:themeColor="text1"/>
        </w:rPr>
        <w:t xml:space="preserve"> and Ontario Disability Support Program dependent adults</w:t>
      </w:r>
      <w:r w:rsidRPr="006A1F9C">
        <w:rPr>
          <w:color w:val="000000" w:themeColor="text1"/>
        </w:rPr>
        <w:t xml:space="preserve"> earnings exemptions to $1000</w:t>
      </w:r>
      <w:r>
        <w:rPr>
          <w:color w:val="000000" w:themeColor="text1"/>
        </w:rPr>
        <w:t xml:space="preserve"> per month</w:t>
      </w:r>
      <w:r w:rsidRPr="006A1F9C">
        <w:rPr>
          <w:color w:val="000000" w:themeColor="text1"/>
        </w:rPr>
        <w:t>.</w:t>
      </w:r>
    </w:p>
    <w:p w14:paraId="1B6BD992" w14:textId="061F3240" w:rsidR="00EB1713" w:rsidRPr="007C495D" w:rsidRDefault="00AB4832" w:rsidP="00CD5368">
      <w:pPr>
        <w:pStyle w:val="ListParagraph"/>
        <w:numPr>
          <w:ilvl w:val="0"/>
          <w:numId w:val="6"/>
        </w:numPr>
        <w:rPr>
          <w:color w:val="000000" w:themeColor="text1"/>
        </w:rPr>
      </w:pPr>
      <w:r>
        <w:rPr>
          <w:color w:val="000000" w:themeColor="text1"/>
        </w:rPr>
        <w:t>Index Ontario Works rates and d</w:t>
      </w:r>
      <w:r w:rsidR="007474D5" w:rsidRPr="007C495D">
        <w:rPr>
          <w:color w:val="000000" w:themeColor="text1"/>
        </w:rPr>
        <w:t xml:space="preserve">ouble both </w:t>
      </w:r>
      <w:r>
        <w:rPr>
          <w:color w:val="000000" w:themeColor="text1"/>
        </w:rPr>
        <w:t>Ontario Works</w:t>
      </w:r>
      <w:r w:rsidR="007474D5" w:rsidRPr="007C495D">
        <w:rPr>
          <w:color w:val="000000" w:themeColor="text1"/>
        </w:rPr>
        <w:t xml:space="preserve"> and Ontario Disability Support Program rates against 2018 rates.</w:t>
      </w:r>
      <w:r>
        <w:rPr>
          <w:color w:val="000000" w:themeColor="text1"/>
        </w:rPr>
        <w:t xml:space="preserve"> </w:t>
      </w:r>
    </w:p>
    <w:p w14:paraId="1386859E" w14:textId="77777777" w:rsidR="00EB1713" w:rsidRPr="007C495D" w:rsidRDefault="00EB1713" w:rsidP="00CD5368">
      <w:pPr>
        <w:pStyle w:val="ListParagraph"/>
        <w:numPr>
          <w:ilvl w:val="0"/>
          <w:numId w:val="6"/>
        </w:numPr>
        <w:rPr>
          <w:color w:val="000000" w:themeColor="text1"/>
        </w:rPr>
      </w:pPr>
      <w:r w:rsidRPr="007C495D">
        <w:rPr>
          <w:color w:val="000000" w:themeColor="text1"/>
        </w:rPr>
        <w:t>Ensure access to social assistance to all people who live in Ontario, regardless of immigration status.</w:t>
      </w:r>
    </w:p>
    <w:p w14:paraId="2AC0AE21" w14:textId="77777777" w:rsidR="00EB1713" w:rsidRPr="001D3CA7" w:rsidRDefault="00EB1713" w:rsidP="00EB1713">
      <w:pPr>
        <w:tabs>
          <w:tab w:val="left" w:pos="-567"/>
        </w:tabs>
        <w:rPr>
          <w:bCs/>
          <w:highlight w:val="yellow"/>
          <w:shd w:val="clear" w:color="auto" w:fill="FFFFFF"/>
        </w:rPr>
      </w:pPr>
    </w:p>
    <w:p w14:paraId="3CE4F683" w14:textId="18CC7404" w:rsidR="00EB1713" w:rsidRPr="007C495D" w:rsidRDefault="00EB1713" w:rsidP="00EB1713">
      <w:pPr>
        <w:numPr>
          <w:ilvl w:val="0"/>
          <w:numId w:val="5"/>
        </w:numPr>
        <w:contextualSpacing/>
        <w:rPr>
          <w:bCs/>
          <w:shd w:val="clear" w:color="auto" w:fill="FFFFFF"/>
        </w:rPr>
      </w:pPr>
      <w:r w:rsidRPr="007C495D">
        <w:rPr>
          <w:b/>
        </w:rPr>
        <w:t>Recommendation #</w:t>
      </w:r>
      <w:r w:rsidR="00AF2008">
        <w:rPr>
          <w:b/>
        </w:rPr>
        <w:t>2</w:t>
      </w:r>
      <w:r w:rsidRPr="007C495D">
        <w:rPr>
          <w:b/>
        </w:rPr>
        <w:t>:</w:t>
      </w:r>
      <w:r w:rsidRPr="007C495D">
        <w:t xml:space="preserve"> </w:t>
      </w:r>
      <w:r w:rsidRPr="007C495D">
        <w:rPr>
          <w:bCs/>
          <w:shd w:val="clear" w:color="auto" w:fill="FFFFFF"/>
        </w:rPr>
        <w:t xml:space="preserve">Allow </w:t>
      </w:r>
      <w:r w:rsidR="007C495D" w:rsidRPr="007C495D">
        <w:rPr>
          <w:bCs/>
          <w:shd w:val="clear" w:color="auto" w:fill="FFFFFF"/>
        </w:rPr>
        <w:t>social assistance clients</w:t>
      </w:r>
      <w:r w:rsidRPr="007C495D">
        <w:rPr>
          <w:bCs/>
          <w:shd w:val="clear" w:color="auto" w:fill="FFFFFF"/>
        </w:rPr>
        <w:t xml:space="preserve"> to keep more money in their pockets</w:t>
      </w:r>
    </w:p>
    <w:p w14:paraId="36D1E737" w14:textId="77777777" w:rsidR="00EB1713" w:rsidRPr="007C495D" w:rsidRDefault="00EB1713" w:rsidP="00EB1713">
      <w:pPr>
        <w:tabs>
          <w:tab w:val="left" w:pos="-567"/>
        </w:tabs>
        <w:rPr>
          <w:bCs/>
          <w:shd w:val="clear" w:color="auto" w:fill="FFFFFF"/>
        </w:rPr>
      </w:pPr>
    </w:p>
    <w:p w14:paraId="6FCC961F" w14:textId="68B09592" w:rsidR="00EB1713" w:rsidRPr="007C495D" w:rsidRDefault="00EB1713" w:rsidP="00CD5368">
      <w:pPr>
        <w:pStyle w:val="ListParagraph"/>
        <w:numPr>
          <w:ilvl w:val="0"/>
          <w:numId w:val="7"/>
        </w:numPr>
        <w:rPr>
          <w:bCs/>
          <w:shd w:val="clear" w:color="auto" w:fill="FFFFFF"/>
        </w:rPr>
      </w:pPr>
      <w:r w:rsidRPr="007C495D">
        <w:t xml:space="preserve">Forgive all overpayments for social assistance </w:t>
      </w:r>
      <w:r w:rsidR="001662AD" w:rsidRPr="007C495D">
        <w:t>clients</w:t>
      </w:r>
      <w:r w:rsidR="007C495D" w:rsidRPr="007C495D">
        <w:t xml:space="preserve"> </w:t>
      </w:r>
      <w:r w:rsidRPr="007C495D">
        <w:t xml:space="preserve">who have accessed </w:t>
      </w:r>
      <w:r w:rsidR="001662AD" w:rsidRPr="007C495D">
        <w:t xml:space="preserve">temporary federal pandemic-related </w:t>
      </w:r>
      <w:r w:rsidRPr="007C495D">
        <w:t xml:space="preserve">benefits. </w:t>
      </w:r>
    </w:p>
    <w:p w14:paraId="5E0A19C7" w14:textId="3346AA69" w:rsidR="006A1F9C" w:rsidRPr="006A1F9C" w:rsidRDefault="006A1F9C" w:rsidP="006A1F9C">
      <w:pPr>
        <w:pStyle w:val="ListParagraph"/>
        <w:numPr>
          <w:ilvl w:val="0"/>
          <w:numId w:val="7"/>
        </w:numPr>
        <w:rPr>
          <w:i/>
          <w:iCs/>
          <w:color w:val="000000" w:themeColor="text1"/>
        </w:rPr>
      </w:pPr>
      <w:r w:rsidRPr="007C495D">
        <w:rPr>
          <w:bCs/>
          <w:shd w:val="clear" w:color="auto" w:fill="FFFFFF"/>
        </w:rPr>
        <w:t xml:space="preserve">Implement </w:t>
      </w:r>
      <w:r w:rsidR="0057554A">
        <w:rPr>
          <w:bCs/>
          <w:shd w:val="clear" w:color="auto" w:fill="FFFFFF"/>
        </w:rPr>
        <w:t xml:space="preserve">three regulatory changes: </w:t>
      </w:r>
      <w:r w:rsidRPr="007C495D">
        <w:rPr>
          <w:bCs/>
          <w:shd w:val="clear" w:color="auto" w:fill="FFFFFF"/>
        </w:rPr>
        <w:t>a flat-rate structure</w:t>
      </w:r>
      <w:r>
        <w:rPr>
          <w:bCs/>
          <w:shd w:val="clear" w:color="auto" w:fill="FFFFFF"/>
        </w:rPr>
        <w:t xml:space="preserve">, </w:t>
      </w:r>
      <w:r w:rsidR="00500EBE">
        <w:rPr>
          <w:bCs/>
          <w:shd w:val="clear" w:color="auto" w:fill="FFFFFF"/>
        </w:rPr>
        <w:t xml:space="preserve">the option of </w:t>
      </w:r>
      <w:r w:rsidRPr="007C495D">
        <w:rPr>
          <w:bCs/>
          <w:shd w:val="clear" w:color="auto" w:fill="FFFFFF"/>
        </w:rPr>
        <w:t>annual reconciliation of income earnings</w:t>
      </w:r>
      <w:r>
        <w:rPr>
          <w:bCs/>
          <w:shd w:val="clear" w:color="auto" w:fill="FFFFFF"/>
        </w:rPr>
        <w:t xml:space="preserve">, and </w:t>
      </w:r>
      <w:r w:rsidRPr="006A1F9C">
        <w:rPr>
          <w:color w:val="000000" w:themeColor="text1"/>
        </w:rPr>
        <w:t xml:space="preserve">align the definition of spouse under social assistance with the </w:t>
      </w:r>
      <w:r w:rsidRPr="006A1F9C">
        <w:rPr>
          <w:i/>
          <w:iCs/>
          <w:color w:val="000000" w:themeColor="text1"/>
        </w:rPr>
        <w:t>Family Law Act</w:t>
      </w:r>
      <w:r w:rsidRPr="006A1F9C">
        <w:rPr>
          <w:color w:val="000000" w:themeColor="text1"/>
        </w:rPr>
        <w:t>.</w:t>
      </w:r>
    </w:p>
    <w:p w14:paraId="487CDF66" w14:textId="3A0F62CC" w:rsidR="00EB1713" w:rsidRPr="007C495D" w:rsidRDefault="00EB1713" w:rsidP="00CD5368">
      <w:pPr>
        <w:pStyle w:val="ListParagraph"/>
        <w:numPr>
          <w:ilvl w:val="0"/>
          <w:numId w:val="7"/>
        </w:numPr>
        <w:rPr>
          <w:bCs/>
          <w:shd w:val="clear" w:color="auto" w:fill="FFFFFF"/>
        </w:rPr>
      </w:pPr>
      <w:r w:rsidRPr="007C495D">
        <w:t>Eliminate the $10,000 limit on voluntary gifts and payments and raise the limit on cash and other liquid assets to $20,000 for O</w:t>
      </w:r>
      <w:r w:rsidR="00591C02" w:rsidRPr="007C495D">
        <w:t xml:space="preserve">ntario </w:t>
      </w:r>
      <w:r w:rsidRPr="007C495D">
        <w:t>W</w:t>
      </w:r>
      <w:r w:rsidR="00591C02" w:rsidRPr="007C495D">
        <w:t>orks</w:t>
      </w:r>
      <w:r w:rsidRPr="007C495D">
        <w:t xml:space="preserve"> </w:t>
      </w:r>
      <w:r w:rsidR="001662AD" w:rsidRPr="007C495D">
        <w:t>clients</w:t>
      </w:r>
      <w:r w:rsidRPr="007C495D">
        <w:t>. For O</w:t>
      </w:r>
      <w:r w:rsidR="00591C02" w:rsidRPr="007C495D">
        <w:t xml:space="preserve">ntario </w:t>
      </w:r>
      <w:r w:rsidRPr="007C495D">
        <w:t>D</w:t>
      </w:r>
      <w:r w:rsidR="00591C02" w:rsidRPr="007C495D">
        <w:t xml:space="preserve">isability </w:t>
      </w:r>
      <w:r w:rsidRPr="007C495D">
        <w:t>S</w:t>
      </w:r>
      <w:r w:rsidR="00591C02" w:rsidRPr="007C495D">
        <w:t>upport Program</w:t>
      </w:r>
      <w:r w:rsidRPr="007C495D">
        <w:t xml:space="preserve"> </w:t>
      </w:r>
      <w:r w:rsidR="001662AD" w:rsidRPr="007C495D">
        <w:t>clients</w:t>
      </w:r>
      <w:r w:rsidRPr="007C495D">
        <w:t>, eliminate the $10,000 limit on voluntary gifts and payments and raise the asset limit to $100,000.</w:t>
      </w:r>
    </w:p>
    <w:p w14:paraId="5E4B3186" w14:textId="3972F315" w:rsidR="00EB1713" w:rsidRPr="001D3CA7" w:rsidRDefault="00EB1713" w:rsidP="00EB1713">
      <w:pPr>
        <w:rPr>
          <w:b/>
          <w:bCs/>
          <w:highlight w:val="yellow"/>
          <w:shd w:val="clear" w:color="auto" w:fill="FFFFFF"/>
        </w:rPr>
      </w:pPr>
    </w:p>
    <w:p w14:paraId="133714E0" w14:textId="5D5E78CE" w:rsidR="00EB1713" w:rsidRPr="007C495D" w:rsidRDefault="00EB1713" w:rsidP="00EB1713">
      <w:pPr>
        <w:pStyle w:val="ListParagraph"/>
        <w:numPr>
          <w:ilvl w:val="0"/>
          <w:numId w:val="5"/>
        </w:numPr>
        <w:contextualSpacing w:val="0"/>
        <w:rPr>
          <w:b/>
          <w:bCs/>
        </w:rPr>
      </w:pPr>
      <w:r w:rsidRPr="007C495D">
        <w:rPr>
          <w:b/>
        </w:rPr>
        <w:t>Recommendation #</w:t>
      </w:r>
      <w:r w:rsidR="00AF2008">
        <w:rPr>
          <w:b/>
        </w:rPr>
        <w:t>3</w:t>
      </w:r>
      <w:r w:rsidRPr="007C495D">
        <w:rPr>
          <w:b/>
        </w:rPr>
        <w:t xml:space="preserve">: </w:t>
      </w:r>
      <w:r w:rsidRPr="007C495D">
        <w:t xml:space="preserve">Ensure the success of </w:t>
      </w:r>
      <w:r w:rsidR="00A623F2">
        <w:t xml:space="preserve">the </w:t>
      </w:r>
      <w:r w:rsidRPr="007C495D">
        <w:t>modernization of social assistance</w:t>
      </w:r>
    </w:p>
    <w:p w14:paraId="432892BE" w14:textId="77777777" w:rsidR="00EB1713" w:rsidRPr="007C495D" w:rsidRDefault="00EB1713" w:rsidP="00EB1713">
      <w:pPr>
        <w:pStyle w:val="ListParagraph"/>
        <w:contextualSpacing w:val="0"/>
        <w:rPr>
          <w:bCs/>
        </w:rPr>
      </w:pPr>
    </w:p>
    <w:p w14:paraId="52F84247" w14:textId="0B431ECE" w:rsidR="00A623F2" w:rsidRPr="00A623F2" w:rsidRDefault="00A623F2" w:rsidP="00A623F2">
      <w:pPr>
        <w:pStyle w:val="ListParagraph"/>
        <w:numPr>
          <w:ilvl w:val="0"/>
          <w:numId w:val="9"/>
        </w:numPr>
      </w:pPr>
      <w:r w:rsidRPr="007C495D">
        <w:rPr>
          <w:bCs/>
        </w:rPr>
        <w:t xml:space="preserve">Invest in </w:t>
      </w:r>
      <w:r w:rsidRPr="007C495D">
        <w:rPr>
          <w:color w:val="000000"/>
        </w:rPr>
        <w:t xml:space="preserve">robust trauma-informed and client-centred wraparound services including childcare, disability, housing, and literacy, mental health and addiction, settlement, translation, and transportation supports to provide life stabilization services and to </w:t>
      </w:r>
      <w:r w:rsidRPr="007C495D">
        <w:rPr>
          <w:color w:val="000000"/>
        </w:rPr>
        <w:lastRenderedPageBreak/>
        <w:t>address barriers to employment for those who are ready and able to work. These supports must be culturally appropriate and responsive to the needs of Indigenous, racialized, 2SLGBTQI+, and newcomer communities</w:t>
      </w:r>
      <w:r w:rsidR="00124A45">
        <w:rPr>
          <w:color w:val="000000"/>
        </w:rPr>
        <w:t>,</w:t>
      </w:r>
      <w:r w:rsidRPr="007C495D">
        <w:rPr>
          <w:color w:val="000000"/>
        </w:rPr>
        <w:t xml:space="preserve"> and </w:t>
      </w:r>
      <w:r w:rsidR="00BD3F06">
        <w:rPr>
          <w:color w:val="000000"/>
        </w:rPr>
        <w:t>the</w:t>
      </w:r>
      <w:r w:rsidRPr="007C495D">
        <w:rPr>
          <w:color w:val="000000"/>
        </w:rPr>
        <w:t xml:space="preserve"> language rights of Francophone communities. </w:t>
      </w:r>
    </w:p>
    <w:p w14:paraId="36D2FFD3" w14:textId="77777777" w:rsidR="001340BB" w:rsidRPr="00F3317E" w:rsidRDefault="001340BB" w:rsidP="001340BB">
      <w:pPr>
        <w:pStyle w:val="ListParagraph"/>
        <w:numPr>
          <w:ilvl w:val="0"/>
          <w:numId w:val="9"/>
        </w:numPr>
      </w:pPr>
      <w:r w:rsidRPr="00F3317E">
        <w:rPr>
          <w:bCs/>
        </w:rPr>
        <w:t xml:space="preserve">Ensure the </w:t>
      </w:r>
      <w:r>
        <w:rPr>
          <w:bCs/>
        </w:rPr>
        <w:t>Employment Services Transformation</w:t>
      </w:r>
      <w:r w:rsidRPr="00F3317E">
        <w:rPr>
          <w:bCs/>
        </w:rPr>
        <w:t xml:space="preserve"> is evidence-based</w:t>
      </w:r>
      <w:r>
        <w:rPr>
          <w:bCs/>
        </w:rPr>
        <w:t xml:space="preserve"> and transparent, </w:t>
      </w:r>
      <w:r w:rsidRPr="00F3317E">
        <w:rPr>
          <w:bCs/>
        </w:rPr>
        <w:t xml:space="preserve">that there is sufficient </w:t>
      </w:r>
      <w:r>
        <w:rPr>
          <w:bCs/>
        </w:rPr>
        <w:t xml:space="preserve">mandatory work-related benefits and </w:t>
      </w:r>
      <w:r w:rsidRPr="00F3317E">
        <w:rPr>
          <w:bCs/>
        </w:rPr>
        <w:t xml:space="preserve">job training, and that jobs are long-term, stable, provide decent wages, necessary workplace accommodations, and meaningful work. </w:t>
      </w:r>
    </w:p>
    <w:p w14:paraId="6993D723" w14:textId="251E65F3" w:rsidR="00EB1713" w:rsidRPr="000623D7" w:rsidRDefault="00EB1713" w:rsidP="00CD5368">
      <w:pPr>
        <w:pStyle w:val="ListParagraph"/>
        <w:numPr>
          <w:ilvl w:val="0"/>
          <w:numId w:val="9"/>
        </w:numPr>
      </w:pPr>
      <w:r w:rsidRPr="000623D7">
        <w:rPr>
          <w:bCs/>
        </w:rPr>
        <w:t xml:space="preserve">Implement a new $100 per month digital access benefit for essential cellphone and </w:t>
      </w:r>
      <w:r w:rsidR="00734369">
        <w:rPr>
          <w:bCs/>
        </w:rPr>
        <w:t>i</w:t>
      </w:r>
      <w:r w:rsidRPr="000623D7">
        <w:rPr>
          <w:bCs/>
        </w:rPr>
        <w:t>nternet services, a $200 digital access benefit every two years to pay for digital equipment and hardware, and digital literacy training that will assist with using new digital tools and platforms.</w:t>
      </w:r>
    </w:p>
    <w:p w14:paraId="7CEC46D2" w14:textId="640159D7" w:rsidR="00EB1713" w:rsidRPr="001D3CA7" w:rsidRDefault="00EB1713" w:rsidP="00EB1713">
      <w:pPr>
        <w:rPr>
          <w:b/>
          <w:bCs/>
          <w:highlight w:val="yellow"/>
          <w:shd w:val="clear" w:color="auto" w:fill="FFFFFF"/>
        </w:rPr>
      </w:pPr>
    </w:p>
    <w:p w14:paraId="22E069CB" w14:textId="77777777" w:rsidR="00F00268" w:rsidRDefault="00F00268" w:rsidP="00EB1713">
      <w:pPr>
        <w:rPr>
          <w:b/>
          <w:bCs/>
          <w:highlight w:val="yellow"/>
          <w:shd w:val="clear" w:color="auto" w:fill="FFFFFF"/>
        </w:rPr>
      </w:pPr>
    </w:p>
    <w:p w14:paraId="3065D775" w14:textId="1DCD1C15" w:rsidR="00EB1713" w:rsidRPr="00EB1713" w:rsidRDefault="006C1381" w:rsidP="00EB1713">
      <w:pPr>
        <w:rPr>
          <w:b/>
          <w:u w:val="single"/>
        </w:rPr>
      </w:pPr>
      <w:r>
        <w:rPr>
          <w:b/>
          <w:u w:val="single"/>
        </w:rPr>
        <w:t>B</w:t>
      </w:r>
      <w:r w:rsidR="00933F12">
        <w:rPr>
          <w:b/>
          <w:u w:val="single"/>
        </w:rPr>
        <w:t xml:space="preserve">.  </w:t>
      </w:r>
      <w:r w:rsidR="00EB1713" w:rsidRPr="00EB1713">
        <w:rPr>
          <w:b/>
          <w:u w:val="single"/>
        </w:rPr>
        <w:t>Invest in Access to Justice</w:t>
      </w:r>
    </w:p>
    <w:p w14:paraId="32F9B371" w14:textId="77777777" w:rsidR="00EB1713" w:rsidRDefault="00EB1713" w:rsidP="00EB1713">
      <w:pPr>
        <w:rPr>
          <w:b/>
          <w:bCs/>
          <w:highlight w:val="yellow"/>
          <w:shd w:val="clear" w:color="auto" w:fill="FFFFFF"/>
        </w:rPr>
      </w:pPr>
    </w:p>
    <w:p w14:paraId="7D728454" w14:textId="0C5BF1B4" w:rsidR="00C70E85" w:rsidRPr="00711373" w:rsidRDefault="00C70E85" w:rsidP="00C70E85">
      <w:pPr>
        <w:pStyle w:val="ListParagraph"/>
        <w:numPr>
          <w:ilvl w:val="0"/>
          <w:numId w:val="16"/>
        </w:numPr>
      </w:pPr>
      <w:r w:rsidRPr="00C70E85">
        <w:rPr>
          <w:b/>
        </w:rPr>
        <w:t>Recommendation #</w:t>
      </w:r>
      <w:r w:rsidR="00AF2008">
        <w:rPr>
          <w:b/>
        </w:rPr>
        <w:t>4</w:t>
      </w:r>
      <w:r w:rsidRPr="00C70E85">
        <w:rPr>
          <w:b/>
        </w:rPr>
        <w:t xml:space="preserve">: </w:t>
      </w:r>
      <w:r w:rsidRPr="008F338B">
        <w:t>Immediately</w:t>
      </w:r>
      <w:r>
        <w:t xml:space="preserve"> address the critical delays and backlog of cases at the Human Rights Tribunal by providing additional resources to the Tribunal, appointing qualified and competent adjudicators, creating a specialized team to deal with the backlog of cases, reconstituting a stakeholder advisory council</w:t>
      </w:r>
      <w:r w:rsidR="008E45D4">
        <w:t>,</w:t>
      </w:r>
      <w:r>
        <w:t xml:space="preserve"> and engaging in transparent communication with the public about key goals and outcomes to address the delays. The Tribunal must immediately cease its practice of widespread dismissal of applications based on alleged jurisdictional grounds and ensure parties can make oral submissions before any decisions to dismiss a case are made. </w:t>
      </w:r>
    </w:p>
    <w:p w14:paraId="1BCC6F10" w14:textId="69F5922C" w:rsidR="00EB1713" w:rsidRDefault="00EB1713" w:rsidP="00EB1713">
      <w:pPr>
        <w:rPr>
          <w:bCs/>
          <w:shd w:val="clear" w:color="auto" w:fill="FFFFFF"/>
        </w:rPr>
      </w:pPr>
    </w:p>
    <w:p w14:paraId="62DDD278" w14:textId="4F52BCE1" w:rsidR="007474D5" w:rsidRPr="00197CE6" w:rsidRDefault="007474D5" w:rsidP="007474D5">
      <w:pPr>
        <w:numPr>
          <w:ilvl w:val="0"/>
          <w:numId w:val="5"/>
        </w:numPr>
        <w:contextualSpacing/>
        <w:rPr>
          <w:b/>
        </w:rPr>
      </w:pPr>
      <w:r w:rsidRPr="0036768B">
        <w:rPr>
          <w:b/>
          <w:color w:val="000000" w:themeColor="text1"/>
          <w:lang w:eastAsia="en-CA"/>
        </w:rPr>
        <w:t>Recommendation #</w:t>
      </w:r>
      <w:r w:rsidR="00AF2008">
        <w:rPr>
          <w:b/>
          <w:color w:val="000000" w:themeColor="text1"/>
          <w:lang w:eastAsia="en-CA"/>
        </w:rPr>
        <w:t>5</w:t>
      </w:r>
      <w:r w:rsidRPr="0036768B">
        <w:rPr>
          <w:b/>
          <w:color w:val="000000" w:themeColor="text1"/>
          <w:lang w:eastAsia="en-CA"/>
        </w:rPr>
        <w:t xml:space="preserve">: </w:t>
      </w:r>
      <w:r w:rsidRPr="0036768B">
        <w:rPr>
          <w:color w:val="000000" w:themeColor="text1"/>
          <w:lang w:eastAsia="en-CA"/>
        </w:rPr>
        <w:t>Increase Legal Aid Ontario funding by $130 million to cover future potential shortfalls and develop a long</w:t>
      </w:r>
      <w:r w:rsidR="00003B23">
        <w:rPr>
          <w:color w:val="000000" w:themeColor="text1"/>
          <w:lang w:eastAsia="en-CA"/>
        </w:rPr>
        <w:t>er</w:t>
      </w:r>
      <w:r w:rsidRPr="0036768B">
        <w:rPr>
          <w:lang w:eastAsia="en-CA"/>
        </w:rPr>
        <w:t>-term, and structurally stable funding plan. This will support low-income Ontarians in accessing justice throughout the province.</w:t>
      </w:r>
    </w:p>
    <w:p w14:paraId="0356501F" w14:textId="720DAF50" w:rsidR="00197CE6" w:rsidRDefault="00197CE6" w:rsidP="00197CE6">
      <w:pPr>
        <w:ind w:left="720"/>
        <w:contextualSpacing/>
        <w:rPr>
          <w:b/>
        </w:rPr>
      </w:pPr>
    </w:p>
    <w:p w14:paraId="120B80AF" w14:textId="5E546D59" w:rsidR="00AF2008" w:rsidRDefault="00AF2008" w:rsidP="00197CE6">
      <w:pPr>
        <w:ind w:left="720"/>
        <w:contextualSpacing/>
        <w:rPr>
          <w:b/>
        </w:rPr>
      </w:pPr>
    </w:p>
    <w:p w14:paraId="116D6CA6" w14:textId="77777777" w:rsidR="00AF2008" w:rsidRPr="00EB1713" w:rsidRDefault="00AF2008" w:rsidP="00AF2008">
      <w:pPr>
        <w:rPr>
          <w:b/>
          <w:iCs/>
          <w:u w:val="single"/>
        </w:rPr>
      </w:pPr>
      <w:r>
        <w:rPr>
          <w:b/>
          <w:iCs/>
          <w:u w:val="single"/>
        </w:rPr>
        <w:t xml:space="preserve">C.  </w:t>
      </w:r>
      <w:r w:rsidRPr="00EB1713">
        <w:rPr>
          <w:b/>
          <w:iCs/>
          <w:u w:val="single"/>
        </w:rPr>
        <w:t xml:space="preserve">Invest in Justice for Workers: </w:t>
      </w:r>
    </w:p>
    <w:p w14:paraId="2DEDC5AB" w14:textId="77777777" w:rsidR="00AF2008" w:rsidRPr="00CC7AAF" w:rsidRDefault="00AF2008" w:rsidP="00AF2008">
      <w:pPr>
        <w:rPr>
          <w:b/>
          <w:i/>
          <w:highlight w:val="yellow"/>
        </w:rPr>
      </w:pPr>
    </w:p>
    <w:p w14:paraId="15C4EECA" w14:textId="73CCF9CE" w:rsidR="00AF2008" w:rsidRPr="00EB1713" w:rsidRDefault="00AF2008" w:rsidP="00AF2008">
      <w:pPr>
        <w:pStyle w:val="ListParagraph"/>
        <w:numPr>
          <w:ilvl w:val="0"/>
          <w:numId w:val="5"/>
        </w:numPr>
      </w:pPr>
      <w:r w:rsidRPr="00F6736B">
        <w:rPr>
          <w:b/>
        </w:rPr>
        <w:t>Recommendation #</w:t>
      </w:r>
      <w:r>
        <w:rPr>
          <w:b/>
        </w:rPr>
        <w:t>6</w:t>
      </w:r>
      <w:r w:rsidRPr="00F6736B">
        <w:rPr>
          <w:b/>
        </w:rPr>
        <w:t xml:space="preserve">: </w:t>
      </w:r>
      <w:r>
        <w:t xml:space="preserve">Legislate </w:t>
      </w:r>
      <w:r w:rsidRPr="000D2FE2">
        <w:t xml:space="preserve">10 Personal Emergency Leave days in the </w:t>
      </w:r>
      <w:r w:rsidRPr="00F6736B">
        <w:rPr>
          <w:i/>
        </w:rPr>
        <w:t>Employment Standards Act, 2000</w:t>
      </w:r>
      <w:r>
        <w:t xml:space="preserve"> that can be used for</w:t>
      </w:r>
      <w:r w:rsidRPr="000D2FE2">
        <w:t xml:space="preserve"> </w:t>
      </w:r>
      <w:r>
        <w:t>employer-</w:t>
      </w:r>
      <w:r w:rsidRPr="000D2FE2">
        <w:t xml:space="preserve">paid sick leave. </w:t>
      </w:r>
      <w:r>
        <w:t>L</w:t>
      </w:r>
      <w:r w:rsidRPr="000D2FE2">
        <w:t xml:space="preserve">egislate an additional 14 days of </w:t>
      </w:r>
      <w:r>
        <w:t>employer-</w:t>
      </w:r>
      <w:r w:rsidRPr="000D2FE2">
        <w:t>paid sick</w:t>
      </w:r>
      <w:r>
        <w:t xml:space="preserve"> leave during declared public health outbreaks</w:t>
      </w:r>
      <w:r w:rsidRPr="000D2FE2">
        <w:t>.</w:t>
      </w:r>
    </w:p>
    <w:p w14:paraId="3F0981AA" w14:textId="77777777" w:rsidR="00AF2008" w:rsidRPr="00CC7AAF" w:rsidRDefault="00AF2008" w:rsidP="00AF2008">
      <w:pPr>
        <w:pStyle w:val="ListParagraph"/>
        <w:rPr>
          <w:highlight w:val="yellow"/>
        </w:rPr>
      </w:pPr>
    </w:p>
    <w:p w14:paraId="6AC03F21" w14:textId="01B7CE03" w:rsidR="00AF2008" w:rsidRPr="00EB1713" w:rsidRDefault="00AF2008" w:rsidP="00AF2008">
      <w:pPr>
        <w:numPr>
          <w:ilvl w:val="0"/>
          <w:numId w:val="5"/>
        </w:numPr>
        <w:contextualSpacing/>
      </w:pPr>
      <w:r w:rsidRPr="00EB1713">
        <w:rPr>
          <w:b/>
          <w:shd w:val="clear" w:color="auto" w:fill="FFFFFF"/>
        </w:rPr>
        <w:t>Recommendation #</w:t>
      </w:r>
      <w:r>
        <w:rPr>
          <w:b/>
          <w:shd w:val="clear" w:color="auto" w:fill="FFFFFF"/>
        </w:rPr>
        <w:t>7</w:t>
      </w:r>
      <w:r w:rsidRPr="00EB1713">
        <w:rPr>
          <w:b/>
          <w:shd w:val="clear" w:color="auto" w:fill="FFFFFF"/>
        </w:rPr>
        <w:t>:</w:t>
      </w:r>
      <w:r w:rsidRPr="00EB1713">
        <w:rPr>
          <w:shd w:val="clear" w:color="auto" w:fill="FFFFFF"/>
        </w:rPr>
        <w:t xml:space="preserve"> Immediately increase the minimum wage</w:t>
      </w:r>
      <w:r>
        <w:rPr>
          <w:shd w:val="clear" w:color="auto" w:fill="FFFFFF"/>
        </w:rPr>
        <w:t xml:space="preserve"> to $20 per hour</w:t>
      </w:r>
      <w:r w:rsidRPr="00EB1713">
        <w:rPr>
          <w:shd w:val="clear" w:color="auto" w:fill="FFFFFF"/>
        </w:rPr>
        <w:t xml:space="preserve"> and implement laws to ensure that workers who do similar work receive equal pay.</w:t>
      </w:r>
    </w:p>
    <w:p w14:paraId="6C42D62A" w14:textId="77777777" w:rsidR="00AF2008" w:rsidRDefault="00AF2008" w:rsidP="00AF2008"/>
    <w:p w14:paraId="5B1EE8CA" w14:textId="150B4B75" w:rsidR="00AF2008" w:rsidRPr="002451B8" w:rsidRDefault="00AF2008" w:rsidP="00AF2008">
      <w:pPr>
        <w:numPr>
          <w:ilvl w:val="0"/>
          <w:numId w:val="5"/>
        </w:numPr>
        <w:contextualSpacing/>
      </w:pPr>
      <w:r w:rsidRPr="00CA29EE">
        <w:rPr>
          <w:b/>
        </w:rPr>
        <w:t xml:space="preserve">Recommendation </w:t>
      </w:r>
      <w:r>
        <w:rPr>
          <w:b/>
        </w:rPr>
        <w:t>#8</w:t>
      </w:r>
      <w:r w:rsidRPr="00CA29EE">
        <w:rPr>
          <w:b/>
        </w:rPr>
        <w:t>:</w:t>
      </w:r>
      <w:r w:rsidRPr="002451B8">
        <w:t xml:space="preserve"> </w:t>
      </w:r>
      <w:r>
        <w:t xml:space="preserve">To protect app-based gig workers and end misclassification of employees, enact a presumption of employee status and the ABC test within the </w:t>
      </w:r>
      <w:r w:rsidRPr="00CA29EE">
        <w:rPr>
          <w:i/>
        </w:rPr>
        <w:t>Employment Standards Act</w:t>
      </w:r>
      <w:r>
        <w:rPr>
          <w:i/>
        </w:rPr>
        <w:t>, 2000</w:t>
      </w:r>
      <w:r w:rsidRPr="002724DA">
        <w:rPr>
          <w:iCs/>
        </w:rPr>
        <w:t>.</w:t>
      </w:r>
      <w:r>
        <w:t xml:space="preserve"> This will ensure workers have access to the full protections of the ESA.</w:t>
      </w:r>
    </w:p>
    <w:p w14:paraId="4BD57E00" w14:textId="77777777" w:rsidR="00AF2008" w:rsidRDefault="00AF2008" w:rsidP="00AF2008">
      <w:pPr>
        <w:autoSpaceDE w:val="0"/>
        <w:autoSpaceDN w:val="0"/>
        <w:adjustRightInd w:val="0"/>
        <w:ind w:right="-720"/>
        <w:rPr>
          <w:highlight w:val="yellow"/>
        </w:rPr>
      </w:pPr>
    </w:p>
    <w:p w14:paraId="6F358FED" w14:textId="77777777" w:rsidR="00521F6C" w:rsidRPr="00393A3E" w:rsidRDefault="00521F6C" w:rsidP="00393A3E">
      <w:pPr>
        <w:rPr>
          <w:b/>
        </w:rPr>
      </w:pPr>
    </w:p>
    <w:p w14:paraId="38B17CA3" w14:textId="25461978" w:rsidR="00AD7DEA" w:rsidRPr="00AB4832" w:rsidRDefault="00AF2008" w:rsidP="00AD7DEA">
      <w:pPr>
        <w:rPr>
          <w:b/>
          <w:u w:val="single"/>
        </w:rPr>
      </w:pPr>
      <w:r>
        <w:rPr>
          <w:b/>
          <w:u w:val="single"/>
        </w:rPr>
        <w:t>A</w:t>
      </w:r>
      <w:r w:rsidR="00756765" w:rsidRPr="00AB4832">
        <w:rPr>
          <w:b/>
          <w:u w:val="single"/>
        </w:rPr>
        <w:t>. Invest in Income Security Programs</w:t>
      </w:r>
    </w:p>
    <w:p w14:paraId="49988AAE" w14:textId="77777777" w:rsidR="00AD7DEA" w:rsidRPr="002B1715" w:rsidRDefault="00AD7DEA" w:rsidP="00756765">
      <w:pPr>
        <w:rPr>
          <w:highlight w:val="yellow"/>
        </w:rPr>
      </w:pPr>
    </w:p>
    <w:p w14:paraId="28DFDA41" w14:textId="076C24BB" w:rsidR="004C7745" w:rsidRPr="004C7745" w:rsidRDefault="004C7745" w:rsidP="004C7745">
      <w:pPr>
        <w:pStyle w:val="Heading1"/>
        <w:numPr>
          <w:ilvl w:val="0"/>
          <w:numId w:val="20"/>
        </w:numPr>
        <w:spacing w:after="0" w:line="240" w:lineRule="auto"/>
        <w:rPr>
          <w:rFonts w:cs="Times New Roman"/>
        </w:rPr>
      </w:pPr>
      <w:r w:rsidRPr="004C7745">
        <w:rPr>
          <w:rFonts w:cs="Times New Roman"/>
        </w:rPr>
        <w:t>Raise social assistance rates and broaden access</w:t>
      </w:r>
    </w:p>
    <w:p w14:paraId="699233F3" w14:textId="77777777" w:rsidR="004C7745" w:rsidRPr="004C7745" w:rsidRDefault="004C7745" w:rsidP="004C7745"/>
    <w:p w14:paraId="0F0877A7" w14:textId="511CD7B5" w:rsidR="00590390" w:rsidRDefault="00590390" w:rsidP="003B687D">
      <w:pPr>
        <w:rPr>
          <w:highlight w:val="yellow"/>
        </w:rPr>
      </w:pPr>
    </w:p>
    <w:p w14:paraId="072FE3F0" w14:textId="12EEBA46" w:rsidR="00C55C3A" w:rsidRDefault="00C55C3A" w:rsidP="00C55C3A">
      <w:r>
        <w:t>ISAC is encouraged by the 5% increase to and indexation of Ontario Disability Support Program (ODSP) rates, and the increased earnings exemption to $1000 per month. However, this is inadequate with rampant inflation that has averaged 6.</w:t>
      </w:r>
      <w:r w:rsidR="0008019D">
        <w:t>8</w:t>
      </w:r>
      <w:r>
        <w:t>% over the past 12 months</w:t>
      </w:r>
      <w:r w:rsidR="002D2EAD">
        <w:rPr>
          <w:rStyle w:val="EndnoteReference"/>
        </w:rPr>
        <w:endnoteReference w:id="1"/>
      </w:r>
      <w:r>
        <w:t xml:space="preserve"> with food, housing prices, and disability costs </w:t>
      </w:r>
      <w:r w:rsidRPr="00053A3F">
        <w:t>increasing even more.</w:t>
      </w:r>
      <w:r w:rsidRPr="00053A3F">
        <w:rPr>
          <w:rStyle w:val="EndnoteReference"/>
        </w:rPr>
        <w:t xml:space="preserve"> </w:t>
      </w:r>
      <w:r w:rsidR="0098004D">
        <w:t>Historically less than 10% of total case have earnings from employment so the change will not benefit over 90% of clients</w:t>
      </w:r>
      <w:r w:rsidR="00F03399">
        <w:t>.</w:t>
      </w:r>
      <w:r w:rsidR="0098004D">
        <w:rPr>
          <w:rStyle w:val="EndnoteReference"/>
        </w:rPr>
        <w:endnoteReference w:id="2"/>
      </w:r>
      <w:r w:rsidR="00B4543E">
        <w:rPr>
          <w:vertAlign w:val="superscript"/>
        </w:rPr>
        <w:t>,</w:t>
      </w:r>
      <w:r w:rsidR="00B4543E">
        <w:rPr>
          <w:rStyle w:val="EndnoteReference"/>
        </w:rPr>
        <w:endnoteReference w:id="3"/>
      </w:r>
      <w:r w:rsidR="00F03399">
        <w:t xml:space="preserve"> </w:t>
      </w:r>
      <w:r>
        <w:t xml:space="preserve">Ontario Works (OW) clients have not received these slight improvements and they are being unjustly left behind. </w:t>
      </w:r>
      <w:r w:rsidR="00E84F7B">
        <w:t xml:space="preserve">People with precarious immigrations status often have a more difficult time accessing these programs, a barrier that should be removed. </w:t>
      </w:r>
    </w:p>
    <w:p w14:paraId="1A11CB11" w14:textId="37A80552" w:rsidR="002B25EC" w:rsidRDefault="002B25EC" w:rsidP="00C55C3A"/>
    <w:p w14:paraId="33CA7FF2" w14:textId="792D7768" w:rsidR="00CF3636" w:rsidRDefault="006E7618" w:rsidP="003B687D">
      <w:r>
        <w:rPr>
          <w:bCs/>
        </w:rPr>
        <w:t xml:space="preserve">Working-age </w:t>
      </w:r>
      <w:r w:rsidR="00930BFF">
        <w:rPr>
          <w:bCs/>
        </w:rPr>
        <w:t xml:space="preserve">single people </w:t>
      </w:r>
      <w:r>
        <w:rPr>
          <w:bCs/>
        </w:rPr>
        <w:t xml:space="preserve">comprise </w:t>
      </w:r>
      <w:r w:rsidRPr="00801017">
        <w:rPr>
          <w:bCs/>
        </w:rPr>
        <w:t>61% of the Ontario Works (OW) caseload and 79% of the Ontario Disability Support Program (ODSP) caseload.</w:t>
      </w:r>
      <w:r w:rsidRPr="00801017">
        <w:rPr>
          <w:rStyle w:val="EndnoteReference"/>
          <w:bCs/>
        </w:rPr>
        <w:endnoteReference w:id="4"/>
      </w:r>
      <w:r w:rsidRPr="00801017">
        <w:rPr>
          <w:bCs/>
        </w:rPr>
        <w:t xml:space="preserve"> </w:t>
      </w:r>
      <w:r>
        <w:rPr>
          <w:bCs/>
        </w:rPr>
        <w:t>Women are also 64% of the OW caseload.</w:t>
      </w:r>
      <w:r>
        <w:rPr>
          <w:rStyle w:val="EndnoteReference"/>
          <w:bCs/>
        </w:rPr>
        <w:endnoteReference w:id="5"/>
      </w:r>
      <w:r>
        <w:rPr>
          <w:bCs/>
        </w:rPr>
        <w:t xml:space="preserve"> </w:t>
      </w:r>
      <w:r w:rsidR="002B25EC" w:rsidRPr="002B25EC">
        <w:t>Under Ontario’s social assistance system, a single person receives only $733 per month from OW and, if they qualify as a person living with a disability, $1,228 per month</w:t>
      </w:r>
      <w:r w:rsidR="004E67D8">
        <w:t xml:space="preserve"> from ODSP</w:t>
      </w:r>
      <w:r w:rsidR="002B25EC" w:rsidRPr="002B25EC">
        <w:t>.</w:t>
      </w:r>
      <w:r w:rsidR="002B25EC" w:rsidRPr="002B25EC">
        <w:rPr>
          <w:rStyle w:val="EndnoteReference"/>
        </w:rPr>
        <w:endnoteReference w:id="6"/>
      </w:r>
      <w:r w:rsidR="002B25EC" w:rsidRPr="002B25EC">
        <w:t xml:space="preserve"> Rates have not kept up with inflation since the 21.6% cut in 1995</w:t>
      </w:r>
      <w:r w:rsidR="00A33FE3">
        <w:t>. I</w:t>
      </w:r>
      <w:r w:rsidR="002B25EC" w:rsidRPr="002B25EC">
        <w:t>nflation has increased almost 15%</w:t>
      </w:r>
      <w:r w:rsidR="00A33FE3">
        <w:t xml:space="preserve"> since 2018 alone.</w:t>
      </w:r>
      <w:r w:rsidR="002B25EC" w:rsidRPr="002B25EC">
        <w:rPr>
          <w:rStyle w:val="EndnoteReference"/>
        </w:rPr>
        <w:endnoteReference w:id="7"/>
      </w:r>
      <w:r w:rsidR="002B25EC" w:rsidRPr="002B25EC">
        <w:t xml:space="preserve"> This means that rates have decreased in real terms</w:t>
      </w:r>
      <w:r w:rsidR="0066264B">
        <w:t xml:space="preserve">, which exacerbates the level of deep poverty in which </w:t>
      </w:r>
      <w:r w:rsidR="002B25EC">
        <w:t>social assistance clients live</w:t>
      </w:r>
      <w:r w:rsidR="00CF3636">
        <w:t>.</w:t>
      </w:r>
    </w:p>
    <w:p w14:paraId="6112F900" w14:textId="77777777" w:rsidR="00AA06CF" w:rsidRDefault="00AA06CF" w:rsidP="003B687D"/>
    <w:p w14:paraId="6077E13F" w14:textId="70AE41A7" w:rsidR="00E91EB7" w:rsidRDefault="00CA4926" w:rsidP="003B687D">
      <w:pPr>
        <w:rPr>
          <w:b/>
          <w:bCs/>
        </w:rPr>
      </w:pPr>
      <w:r w:rsidRPr="00635932">
        <w:t>The</w:t>
      </w:r>
      <w:r w:rsidR="00B30131" w:rsidRPr="00635932">
        <w:t xml:space="preserve"> Market Basket Measure (MBM)</w:t>
      </w:r>
      <w:r w:rsidRPr="00635932">
        <w:t xml:space="preserve"> is Canada’s Official Poverty Line and “identifies households whose disposable income is less than the cost of a basket of goods and services that represent a basic standard of living.”</w:t>
      </w:r>
      <w:r w:rsidR="00A934C7" w:rsidRPr="00635932">
        <w:rPr>
          <w:rStyle w:val="EndnoteReference"/>
        </w:rPr>
        <w:t xml:space="preserve"> </w:t>
      </w:r>
      <w:r w:rsidR="00A934C7" w:rsidRPr="00635932">
        <w:rPr>
          <w:rStyle w:val="EndnoteReference"/>
        </w:rPr>
        <w:endnoteReference w:id="8"/>
      </w:r>
      <w:r w:rsidR="00B30131" w:rsidRPr="00635932">
        <w:t xml:space="preserve"> </w:t>
      </w:r>
      <w:r w:rsidR="00590390" w:rsidRPr="00635932">
        <w:t xml:space="preserve">With the current rates, </w:t>
      </w:r>
      <w:r w:rsidR="004E67D8" w:rsidRPr="00635932">
        <w:t>OW</w:t>
      </w:r>
      <w:r w:rsidR="00B30131" w:rsidRPr="00635932">
        <w:t xml:space="preserve"> clients experience a shortfall </w:t>
      </w:r>
      <w:r w:rsidR="00BC5904">
        <w:t xml:space="preserve">below the poverty line </w:t>
      </w:r>
      <w:r w:rsidR="00B30131" w:rsidRPr="00635932">
        <w:t>from</w:t>
      </w:r>
      <w:r w:rsidR="00AA06CF">
        <w:t xml:space="preserve"> </w:t>
      </w:r>
      <w:r w:rsidR="00B30131" w:rsidRPr="00635932">
        <w:t>$10</w:t>
      </w:r>
      <w:r w:rsidR="009C2DFC" w:rsidRPr="00635932">
        <w:t>69</w:t>
      </w:r>
      <w:r w:rsidR="00B30131" w:rsidRPr="00635932">
        <w:t xml:space="preserve"> in rural Ontario to $14</w:t>
      </w:r>
      <w:r w:rsidR="009C2DFC" w:rsidRPr="00635932">
        <w:t>06</w:t>
      </w:r>
      <w:r w:rsidR="00B30131" w:rsidRPr="00635932">
        <w:t xml:space="preserve"> in Toronto</w:t>
      </w:r>
      <w:r w:rsidR="00E801A9" w:rsidRPr="00635932">
        <w:t xml:space="preserve">; </w:t>
      </w:r>
      <w:r w:rsidR="00705431" w:rsidRPr="00635932">
        <w:t>ODSP</w:t>
      </w:r>
      <w:r w:rsidR="00B30131" w:rsidRPr="00635932">
        <w:t xml:space="preserve"> clients have a shortfall </w:t>
      </w:r>
      <w:r w:rsidR="00BC5904">
        <w:t>from</w:t>
      </w:r>
      <w:r w:rsidR="00B30131" w:rsidRPr="00635932">
        <w:t xml:space="preserve"> $</w:t>
      </w:r>
      <w:r w:rsidR="00705431" w:rsidRPr="00635932">
        <w:t>575</w:t>
      </w:r>
      <w:r w:rsidR="00B30131" w:rsidRPr="00635932">
        <w:t xml:space="preserve"> in rural Ontario to $9</w:t>
      </w:r>
      <w:r w:rsidR="00705431" w:rsidRPr="00635932">
        <w:t>12</w:t>
      </w:r>
      <w:r w:rsidR="00B30131" w:rsidRPr="00635932">
        <w:t xml:space="preserve"> in Toronto</w:t>
      </w:r>
      <w:r w:rsidR="00BC6D9B" w:rsidRPr="00635932">
        <w:t>.</w:t>
      </w:r>
      <w:r w:rsidR="00A934C7" w:rsidRPr="00635932">
        <w:rPr>
          <w:rStyle w:val="EndnoteReference"/>
        </w:rPr>
        <w:endnoteReference w:id="9"/>
      </w:r>
      <w:r w:rsidR="00BC6D9B" w:rsidRPr="00635932">
        <w:t xml:space="preserve"> T</w:t>
      </w:r>
      <w:r w:rsidR="00B30131" w:rsidRPr="00635932">
        <w:t xml:space="preserve">his calculation does not include the </w:t>
      </w:r>
      <w:r w:rsidR="00705431" w:rsidRPr="00635932">
        <w:t>extra</w:t>
      </w:r>
      <w:r w:rsidR="00B30131" w:rsidRPr="00635932">
        <w:t xml:space="preserve"> costs associated with living with a disability</w:t>
      </w:r>
      <w:r w:rsidR="00BC6D9B" w:rsidRPr="00635932">
        <w:t>,</w:t>
      </w:r>
      <w:r w:rsidR="00A934C7" w:rsidRPr="00930BFF">
        <w:rPr>
          <w:rStyle w:val="EndnoteReference"/>
        </w:rPr>
        <w:endnoteReference w:id="10"/>
      </w:r>
      <w:r w:rsidR="00AA06CF" w:rsidRPr="00930BFF">
        <w:rPr>
          <w:vertAlign w:val="superscript"/>
        </w:rPr>
        <w:t>,</w:t>
      </w:r>
      <w:r w:rsidR="0039494B">
        <w:rPr>
          <w:rStyle w:val="EndnoteReference"/>
        </w:rPr>
        <w:endnoteReference w:id="11"/>
      </w:r>
      <w:r w:rsidR="00BC6D9B" w:rsidRPr="00635932">
        <w:t xml:space="preserve"> which</w:t>
      </w:r>
      <w:r w:rsidR="00DF0D23">
        <w:t>,</w:t>
      </w:r>
      <w:r w:rsidR="00BC6D9B" w:rsidRPr="00635932">
        <w:t xml:space="preserve"> in 2018</w:t>
      </w:r>
      <w:r w:rsidR="00DF0D23">
        <w:t>,</w:t>
      </w:r>
      <w:r w:rsidR="00BC6D9B" w:rsidRPr="00635932">
        <w:t xml:space="preserve"> </w:t>
      </w:r>
      <w:r w:rsidR="00BC6D9B" w:rsidRPr="00635932">
        <w:rPr>
          <w:sz w:val="23"/>
          <w:szCs w:val="23"/>
        </w:rPr>
        <w:t xml:space="preserve">the </w:t>
      </w:r>
      <w:r w:rsidR="00BC6D9B" w:rsidRPr="00BC5904">
        <w:t>United Nations estimated increases the cost of living by 30% for people living with moderate disabilities.</w:t>
      </w:r>
      <w:r w:rsidR="00BC6D9B" w:rsidRPr="00635932">
        <w:rPr>
          <w:rStyle w:val="EndnoteReference"/>
          <w:sz w:val="23"/>
          <w:szCs w:val="23"/>
        </w:rPr>
        <w:endnoteReference w:id="12"/>
      </w:r>
      <w:r w:rsidR="00BC6D9B" w:rsidRPr="00635932">
        <w:rPr>
          <w:sz w:val="23"/>
          <w:szCs w:val="23"/>
        </w:rPr>
        <w:t xml:space="preserve"> </w:t>
      </w:r>
    </w:p>
    <w:p w14:paraId="662A082D" w14:textId="7714F6A7" w:rsidR="00E91EB7" w:rsidRDefault="00E91EB7" w:rsidP="003B687D">
      <w:pPr>
        <w:rPr>
          <w:b/>
          <w:bCs/>
        </w:rPr>
      </w:pPr>
      <w:r>
        <w:rPr>
          <w:noProof/>
          <w:lang w:val="en-US"/>
        </w:rPr>
        <mc:AlternateContent>
          <mc:Choice Requires="wps">
            <w:drawing>
              <wp:anchor distT="0" distB="0" distL="114300" distR="114300" simplePos="0" relativeHeight="251659263" behindDoc="1" locked="0" layoutInCell="1" allowOverlap="1" wp14:anchorId="250C8DD0" wp14:editId="5ED7415B">
                <wp:simplePos x="0" y="0"/>
                <wp:positionH relativeFrom="column">
                  <wp:posOffset>-81280</wp:posOffset>
                </wp:positionH>
                <wp:positionV relativeFrom="paragraph">
                  <wp:posOffset>104140</wp:posOffset>
                </wp:positionV>
                <wp:extent cx="6334125" cy="4257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334125" cy="42576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84FDB" id="Rectangle 2" o:spid="_x0000_s1026" style="position:absolute;margin-left:-6.4pt;margin-top:8.2pt;width:498.75pt;height:335.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" fillcolor="white [3201]" strokecolor="black [3213]"/>
            </w:pict>
          </mc:Fallback>
        </mc:AlternateContent>
      </w:r>
    </w:p>
    <w:p w14:paraId="5BC752E7" w14:textId="1CDC5E90" w:rsidR="00AB31B3" w:rsidRPr="002B1715" w:rsidRDefault="00E33A66" w:rsidP="003B687D">
      <w:pPr>
        <w:rPr>
          <w:highlight w:val="yellow"/>
        </w:rPr>
      </w:pPr>
      <w:r>
        <w:rPr>
          <w:noProof/>
          <w:lang w:val="en-US"/>
        </w:rPr>
        <w:drawing>
          <wp:inline distT="0" distB="0" distL="0" distR="0" wp14:anchorId="5D0B22EF" wp14:editId="0F7E42F4">
            <wp:extent cx="6072363" cy="3679584"/>
            <wp:effectExtent l="0" t="0" r="0" b="381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72363" cy="3679584"/>
                    </a:xfrm>
                    <a:prstGeom prst="rect">
                      <a:avLst/>
                    </a:prstGeom>
                  </pic:spPr>
                </pic:pic>
              </a:graphicData>
            </a:graphic>
          </wp:inline>
        </w:drawing>
      </w:r>
    </w:p>
    <w:p w14:paraId="5EB4F32B" w14:textId="0D74E336" w:rsidR="008A54ED" w:rsidRPr="0099020B" w:rsidRDefault="0089266E" w:rsidP="00CF3636">
      <w:pPr>
        <w:rPr>
          <w:sz w:val="20"/>
        </w:rPr>
      </w:pPr>
      <w:r w:rsidRPr="0089266E">
        <w:rPr>
          <w:b/>
          <w:sz w:val="20"/>
        </w:rPr>
        <w:t xml:space="preserve">Figure 1 – Welfare incomes and poverty thresholds for single adults, 2021. </w:t>
      </w:r>
      <w:r w:rsidR="0082028D" w:rsidRPr="0099020B">
        <w:rPr>
          <w:sz w:val="20"/>
        </w:rPr>
        <w:t xml:space="preserve">Adapted from </w:t>
      </w:r>
      <w:r w:rsidR="0082028D" w:rsidRPr="0099020B">
        <w:rPr>
          <w:i/>
          <w:iCs/>
          <w:sz w:val="20"/>
        </w:rPr>
        <w:t>Welfare in Canada, 2021</w:t>
      </w:r>
      <w:r w:rsidR="0082028D" w:rsidRPr="0099020B">
        <w:rPr>
          <w:sz w:val="20"/>
        </w:rPr>
        <w:t xml:space="preserve">, by Jennefer Laidley and Mohy Tabbara, </w:t>
      </w:r>
      <w:hyperlink r:id="rId11" w:history="1">
        <w:r w:rsidR="0082028D" w:rsidRPr="0099020B">
          <w:rPr>
            <w:rStyle w:val="Hyperlink"/>
            <w:sz w:val="20"/>
          </w:rPr>
          <w:t>https://maytree.com/wp-content/uploads/Welfare_in_Canada_2021.pdf</w:t>
        </w:r>
      </w:hyperlink>
      <w:r w:rsidR="0082028D" w:rsidRPr="0099020B">
        <w:rPr>
          <w:sz w:val="20"/>
        </w:rPr>
        <w:t>, p. 124. 2022 by Maytree.</w:t>
      </w:r>
    </w:p>
    <w:p w14:paraId="3A07F3EA" w14:textId="1FADF97A" w:rsidR="0089266E" w:rsidRDefault="0089266E" w:rsidP="0089266E">
      <w:pPr>
        <w:rPr>
          <w:highlight w:val="yellow"/>
        </w:rPr>
      </w:pPr>
      <w:r w:rsidRPr="00635932">
        <w:lastRenderedPageBreak/>
        <w:t>OW clients live up to 66% below the poverty line</w:t>
      </w:r>
      <w:r w:rsidR="00CC298A">
        <w:t>,</w:t>
      </w:r>
      <w:r w:rsidRPr="00635932">
        <w:t xml:space="preserve"> while ODSP clients live up to 43% below that line. Even with federal and provincial tax credits and benefits, including the federal GST/HST credit</w:t>
      </w:r>
      <w:r>
        <w:t>,</w:t>
      </w:r>
      <w:r w:rsidRPr="00635932">
        <w:t xml:space="preserve"> the federal climate action incentive (CAI), and the provincial Ontario Trillium Benefit, social assistance clients live well below the deep poverty line, which</w:t>
      </w:r>
      <w:r>
        <w:t xml:space="preserve"> or 75% below the MBM,”</w:t>
      </w:r>
      <w:r w:rsidRPr="00635932">
        <w:rPr>
          <w:rStyle w:val="EndnoteReference"/>
        </w:rPr>
        <w:endnoteReference w:id="13"/>
      </w:r>
      <w:r w:rsidRPr="00635932">
        <w:t xml:space="preserve"> as demonstrated by </w:t>
      </w:r>
      <w:r>
        <w:t>Figure 1 above</w:t>
      </w:r>
      <w:r w:rsidRPr="00635932">
        <w:t>.</w:t>
      </w:r>
      <w:r w:rsidRPr="00635932">
        <w:rPr>
          <w:rStyle w:val="EndnoteReference"/>
        </w:rPr>
        <w:t xml:space="preserve"> </w:t>
      </w:r>
    </w:p>
    <w:p w14:paraId="13A52005" w14:textId="77777777" w:rsidR="0099020B" w:rsidRPr="002B1715" w:rsidRDefault="0099020B" w:rsidP="003B687D">
      <w:pPr>
        <w:rPr>
          <w:highlight w:val="yellow"/>
        </w:rPr>
      </w:pPr>
    </w:p>
    <w:p w14:paraId="64FAA3C6" w14:textId="2FBB849F" w:rsidR="00AF7497" w:rsidRPr="00253C42" w:rsidRDefault="00D85417" w:rsidP="00AF7497">
      <w:pPr>
        <w:autoSpaceDE w:val="0"/>
        <w:autoSpaceDN w:val="0"/>
        <w:adjustRightInd w:val="0"/>
      </w:pPr>
      <w:r w:rsidRPr="00253C42">
        <w:rPr>
          <w:b/>
          <w:bCs/>
        </w:rPr>
        <w:t xml:space="preserve">Housing security </w:t>
      </w:r>
      <w:r w:rsidR="005C7BC0" w:rsidRPr="00253C42">
        <w:rPr>
          <w:b/>
          <w:bCs/>
        </w:rPr>
        <w:t>requires support</w:t>
      </w:r>
      <w:r w:rsidR="00A44695" w:rsidRPr="00253C42">
        <w:rPr>
          <w:b/>
          <w:bCs/>
        </w:rPr>
        <w:t>.</w:t>
      </w:r>
      <w:r w:rsidRPr="00253C42">
        <w:rPr>
          <w:b/>
          <w:bCs/>
        </w:rPr>
        <w:t xml:space="preserve"> </w:t>
      </w:r>
      <w:r w:rsidR="003370CC" w:rsidRPr="00253C42">
        <w:t>H</w:t>
      </w:r>
      <w:r w:rsidR="00864F8E" w:rsidRPr="00253C42">
        <w:t xml:space="preserve">igher </w:t>
      </w:r>
      <w:r w:rsidR="0099020B">
        <w:t xml:space="preserve">social assistance </w:t>
      </w:r>
      <w:r w:rsidR="00864F8E" w:rsidRPr="00253C42">
        <w:t>rates are</w:t>
      </w:r>
      <w:r w:rsidR="00FC6EF1" w:rsidRPr="00253C42">
        <w:t xml:space="preserve"> </w:t>
      </w:r>
      <w:r w:rsidR="00864F8E" w:rsidRPr="00253C42">
        <w:t>vital</w:t>
      </w:r>
      <w:r w:rsidR="00FC6EF1" w:rsidRPr="00253C42">
        <w:t xml:space="preserve"> </w:t>
      </w:r>
      <w:r w:rsidR="00AC1344" w:rsidRPr="00253C42">
        <w:t>to afford</w:t>
      </w:r>
      <w:r w:rsidR="00FC6EF1" w:rsidRPr="00253C42">
        <w:t xml:space="preserve"> safe, affordable and adequate housing</w:t>
      </w:r>
      <w:r w:rsidR="00AC1344" w:rsidRPr="00253C42">
        <w:t xml:space="preserve">. </w:t>
      </w:r>
      <w:r w:rsidR="00EC5732" w:rsidRPr="00253C42">
        <w:rPr>
          <w:lang w:val="en-US" w:eastAsia="en-CA"/>
        </w:rPr>
        <w:t>Ontario has the highest percentage of “tenant families in core housing need” at just under 3</w:t>
      </w:r>
      <w:r w:rsidR="00E83440">
        <w:rPr>
          <w:lang w:val="en-US" w:eastAsia="en-CA"/>
        </w:rPr>
        <w:t>0%</w:t>
      </w:r>
      <w:r w:rsidR="00A934C7" w:rsidRPr="00253C42">
        <w:rPr>
          <w:rStyle w:val="EndnoteReference"/>
          <w:lang w:val="en-US" w:eastAsia="en-CA"/>
        </w:rPr>
        <w:t xml:space="preserve"> </w:t>
      </w:r>
      <w:r w:rsidR="00A934C7" w:rsidRPr="00253C42">
        <w:rPr>
          <w:rStyle w:val="EndnoteReference"/>
          <w:lang w:val="en-US" w:eastAsia="en-CA"/>
        </w:rPr>
        <w:endnoteReference w:id="14"/>
      </w:r>
      <w:r w:rsidR="00AF7497" w:rsidRPr="00253C42">
        <w:rPr>
          <w:b/>
          <w:bCs/>
          <w:color w:val="000000"/>
          <w:lang w:val="en-US" w:eastAsia="en-CA"/>
        </w:rPr>
        <w:t xml:space="preserve">  </w:t>
      </w:r>
      <w:r w:rsidR="00E509C5" w:rsidRPr="00253C42">
        <w:t xml:space="preserve">The </w:t>
      </w:r>
      <w:r w:rsidR="00FC6EF1" w:rsidRPr="00253C42">
        <w:t>average price of bachelor apartment</w:t>
      </w:r>
      <w:r w:rsidR="00E509C5" w:rsidRPr="00253C42">
        <w:t xml:space="preserve">s </w:t>
      </w:r>
      <w:r w:rsidR="00461EC0" w:rsidRPr="00253C42">
        <w:t>is</w:t>
      </w:r>
      <w:r w:rsidR="00E509C5" w:rsidRPr="00253C42">
        <w:t xml:space="preserve"> $12</w:t>
      </w:r>
      <w:r w:rsidR="00895A96" w:rsidRPr="00253C42">
        <w:t>2</w:t>
      </w:r>
      <w:r w:rsidR="00E509C5" w:rsidRPr="00253C42">
        <w:t>2 in Toronto</w:t>
      </w:r>
      <w:r w:rsidR="00AC1344" w:rsidRPr="00253C42">
        <w:t>,</w:t>
      </w:r>
      <w:r w:rsidR="00E509C5" w:rsidRPr="00253C42">
        <w:t xml:space="preserve"> </w:t>
      </w:r>
      <w:r w:rsidR="00895A96" w:rsidRPr="00253C42">
        <w:t>and 70% of social assistance clients live in market rentals.</w:t>
      </w:r>
      <w:r w:rsidR="00A934C7" w:rsidRPr="00253C42">
        <w:rPr>
          <w:rStyle w:val="EndnoteReference"/>
        </w:rPr>
        <w:endnoteReference w:id="15"/>
      </w:r>
      <w:r w:rsidR="00263D06" w:rsidRPr="00253C42">
        <w:t xml:space="preserve"> </w:t>
      </w:r>
      <w:r w:rsidR="00D7153F" w:rsidRPr="00253C42">
        <w:t xml:space="preserve"> </w:t>
      </w:r>
      <w:r w:rsidR="0042307A">
        <w:t xml:space="preserve">In Toronto, 69% of foodbank clients </w:t>
      </w:r>
      <w:r w:rsidR="00DF0D23">
        <w:t>use</w:t>
      </w:r>
      <w:r w:rsidR="0042307A">
        <w:t xml:space="preserve"> half of their income on housing, and 18% pay 100% </w:t>
      </w:r>
      <w:r w:rsidR="00DF0D23">
        <w:t xml:space="preserve">of their income </w:t>
      </w:r>
      <w:r w:rsidR="0042307A">
        <w:t>or more</w:t>
      </w:r>
      <w:r w:rsidR="00DF0D23">
        <w:t xml:space="preserve"> on housing.</w:t>
      </w:r>
      <w:r w:rsidR="0042307A">
        <w:rPr>
          <w:rStyle w:val="EndnoteReference"/>
        </w:rPr>
        <w:endnoteReference w:id="16"/>
      </w:r>
      <w:r w:rsidR="0042307A">
        <w:t xml:space="preserve"> </w:t>
      </w:r>
      <w:r w:rsidR="00895A96" w:rsidRPr="00253C42">
        <w:t xml:space="preserve">Housing precarity and homelessness </w:t>
      </w:r>
      <w:r w:rsidR="00DF0D23">
        <w:t>are</w:t>
      </w:r>
      <w:r w:rsidR="00895A96" w:rsidRPr="00253C42">
        <w:t xml:space="preserve"> on the rise. Across the province rents are increasing exponentially</w:t>
      </w:r>
      <w:r w:rsidR="00DF0D23">
        <w:t xml:space="preserve"> – </w:t>
      </w:r>
      <w:r w:rsidR="00895A96" w:rsidRPr="00253C42">
        <w:t>21.3% in Toronto in 2022.</w:t>
      </w:r>
      <w:r w:rsidR="00895A96" w:rsidRPr="00253C42">
        <w:rPr>
          <w:rStyle w:val="EndnoteReference"/>
        </w:rPr>
        <w:endnoteReference w:id="17"/>
      </w:r>
      <w:r w:rsidR="00895A96" w:rsidRPr="00253C42">
        <w:t xml:space="preserve"> Renoviction</w:t>
      </w:r>
      <w:r w:rsidR="00B2404E">
        <w:rPr>
          <w:rStyle w:val="EndnoteReference"/>
        </w:rPr>
        <w:endnoteReference w:id="18"/>
      </w:r>
      <w:r w:rsidR="00895A96" w:rsidRPr="00253C42">
        <w:t xml:space="preserve"> and evictions for own use</w:t>
      </w:r>
      <w:r w:rsidR="004D40E0">
        <w:rPr>
          <w:rStyle w:val="EndnoteReference"/>
        </w:rPr>
        <w:endnoteReference w:id="19"/>
      </w:r>
      <w:r w:rsidR="00895A96" w:rsidRPr="00253C42">
        <w:t xml:space="preserve"> are leaving tenants with nowhere to go.</w:t>
      </w:r>
      <w:r w:rsidR="00253C42" w:rsidRPr="00253C42">
        <w:t xml:space="preserve"> </w:t>
      </w:r>
      <w:r w:rsidR="006F068A" w:rsidRPr="00253C42">
        <w:t>M</w:t>
      </w:r>
      <w:r w:rsidR="000333EE" w:rsidRPr="00253C42">
        <w:t xml:space="preserve">any renters on social assistance </w:t>
      </w:r>
      <w:r w:rsidR="006F068A" w:rsidRPr="00253C42">
        <w:t xml:space="preserve">are experiencing access to justice issues with </w:t>
      </w:r>
      <w:r w:rsidR="00164560" w:rsidRPr="00253C42">
        <w:t>the majority of</w:t>
      </w:r>
      <w:r w:rsidR="007A4D08">
        <w:t xml:space="preserve"> Landlord Tenant Board (LTB)</w:t>
      </w:r>
      <w:r w:rsidR="006F068A" w:rsidRPr="00253C42">
        <w:t xml:space="preserve"> hearings now occurring online. </w:t>
      </w:r>
      <w:r w:rsidR="00164560" w:rsidRPr="00253C42">
        <w:t>These evictions disproportionately impact Black</w:t>
      </w:r>
      <w:r w:rsidR="00AF7497" w:rsidRPr="00253C42">
        <w:t xml:space="preserve">, </w:t>
      </w:r>
      <w:r w:rsidR="00164560" w:rsidRPr="00253C42">
        <w:t>Indigenous</w:t>
      </w:r>
      <w:r w:rsidR="003370CC" w:rsidRPr="00253C42">
        <w:t>,</w:t>
      </w:r>
      <w:r w:rsidR="00164560" w:rsidRPr="00253C42">
        <w:t xml:space="preserve"> </w:t>
      </w:r>
      <w:r w:rsidR="001A56D4" w:rsidRPr="00253C42">
        <w:t xml:space="preserve">and queer people, </w:t>
      </w:r>
      <w:r w:rsidR="00AF7497" w:rsidRPr="00253C42">
        <w:t xml:space="preserve">and </w:t>
      </w:r>
      <w:r w:rsidR="001A56D4" w:rsidRPr="00253C42">
        <w:t xml:space="preserve">women and their children, particularly </w:t>
      </w:r>
      <w:r w:rsidR="007529F9" w:rsidRPr="00253C42">
        <w:t xml:space="preserve">if their children are </w:t>
      </w:r>
      <w:r w:rsidR="001A56D4" w:rsidRPr="00253C42">
        <w:t xml:space="preserve">under </w:t>
      </w:r>
      <w:r w:rsidR="00AF7497" w:rsidRPr="00253C42">
        <w:t xml:space="preserve">the age of </w:t>
      </w:r>
      <w:r w:rsidR="001A56D4" w:rsidRPr="00253C42">
        <w:t>six</w:t>
      </w:r>
      <w:r w:rsidR="006963C7">
        <w:t>.</w:t>
      </w:r>
      <w:r w:rsidR="00A934C7" w:rsidRPr="00253C42">
        <w:rPr>
          <w:rStyle w:val="EndnoteReference"/>
        </w:rPr>
        <w:endnoteReference w:id="20"/>
      </w:r>
      <w:r w:rsidR="001A56D4" w:rsidRPr="00253C42">
        <w:t xml:space="preserve"> </w:t>
      </w:r>
    </w:p>
    <w:p w14:paraId="3C9ABF49" w14:textId="77777777" w:rsidR="00AF7497" w:rsidRPr="00253C42" w:rsidRDefault="00AF7497" w:rsidP="00AF7497">
      <w:pPr>
        <w:autoSpaceDE w:val="0"/>
        <w:autoSpaceDN w:val="0"/>
        <w:adjustRightInd w:val="0"/>
        <w:rPr>
          <w:b/>
          <w:bCs/>
          <w:color w:val="000000"/>
          <w:lang w:val="en-US" w:eastAsia="en-CA"/>
        </w:rPr>
      </w:pPr>
    </w:p>
    <w:p w14:paraId="1E7F6EC1" w14:textId="1557E7D2" w:rsidR="008D507D" w:rsidRPr="00253C42" w:rsidRDefault="008D507D" w:rsidP="00AF7497">
      <w:pPr>
        <w:autoSpaceDE w:val="0"/>
        <w:autoSpaceDN w:val="0"/>
        <w:adjustRightInd w:val="0"/>
        <w:rPr>
          <w:b/>
          <w:bCs/>
          <w:color w:val="000000"/>
          <w:lang w:val="en-US" w:eastAsia="en-CA"/>
        </w:rPr>
      </w:pPr>
      <w:r w:rsidRPr="00253C42">
        <w:t xml:space="preserve">ISAC supports all recommendations to </w:t>
      </w:r>
      <w:r w:rsidR="00AF7497" w:rsidRPr="00253C42">
        <w:t>address</w:t>
      </w:r>
      <w:r w:rsidRPr="00253C42">
        <w:t xml:space="preserve"> the housing </w:t>
      </w:r>
      <w:r w:rsidR="00AA4421" w:rsidRPr="00253C42">
        <w:t>crisis</w:t>
      </w:r>
      <w:r w:rsidRPr="00253C42">
        <w:t xml:space="preserve"> </w:t>
      </w:r>
      <w:r w:rsidR="00AF7497" w:rsidRPr="00253C42">
        <w:t xml:space="preserve">and </w:t>
      </w:r>
      <w:r w:rsidR="00D03315" w:rsidRPr="00253C42">
        <w:t xml:space="preserve">to </w:t>
      </w:r>
      <w:r w:rsidR="00AF7497" w:rsidRPr="00253C42">
        <w:t>protect tenant right</w:t>
      </w:r>
      <w:r w:rsidR="00DF0D23">
        <w:t>s</w:t>
      </w:r>
      <w:r w:rsidR="00AF7497" w:rsidRPr="00253C42">
        <w:t xml:space="preserve"> </w:t>
      </w:r>
      <w:r w:rsidRPr="00253C42">
        <w:t xml:space="preserve">made by </w:t>
      </w:r>
      <w:r w:rsidR="00BA3813">
        <w:t xml:space="preserve">the </w:t>
      </w:r>
      <w:r w:rsidRPr="00253C42">
        <w:t xml:space="preserve">Advocacy Centre for </w:t>
      </w:r>
      <w:r w:rsidR="00B5788A" w:rsidRPr="00253C42">
        <w:t>Tenants Ontario (ACTO</w:t>
      </w:r>
      <w:r w:rsidR="00AF7497" w:rsidRPr="00253C42">
        <w:t>).</w:t>
      </w:r>
    </w:p>
    <w:p w14:paraId="75BDEA8A" w14:textId="216E2819" w:rsidR="006E7618" w:rsidRDefault="00D85417" w:rsidP="00C53596">
      <w:pPr>
        <w:pStyle w:val="NormalWeb"/>
      </w:pPr>
      <w:r w:rsidRPr="00EF0311">
        <w:rPr>
          <w:b/>
          <w:bCs/>
        </w:rPr>
        <w:t>Food security</w:t>
      </w:r>
      <w:r w:rsidR="004F05A3" w:rsidRPr="00EF0311">
        <w:rPr>
          <w:b/>
          <w:bCs/>
        </w:rPr>
        <w:t xml:space="preserve"> is vital</w:t>
      </w:r>
      <w:r w:rsidR="00A44695" w:rsidRPr="00EF0311">
        <w:rPr>
          <w:b/>
          <w:bCs/>
        </w:rPr>
        <w:t>.</w:t>
      </w:r>
      <w:r w:rsidR="004F05A3" w:rsidRPr="00EF0311">
        <w:rPr>
          <w:b/>
          <w:bCs/>
        </w:rPr>
        <w:t xml:space="preserve"> </w:t>
      </w:r>
      <w:r w:rsidR="004F05A3" w:rsidRPr="00EF0311">
        <w:t xml:space="preserve">Rate increases are also required to </w:t>
      </w:r>
      <w:r w:rsidR="00AC1344" w:rsidRPr="00EF0311">
        <w:t>afford nutritious, fresh</w:t>
      </w:r>
      <w:r w:rsidR="007B48F9" w:rsidRPr="00EF0311">
        <w:t>,</w:t>
      </w:r>
      <w:r w:rsidR="00AC1344" w:rsidRPr="00EF0311">
        <w:t xml:space="preserve"> and culturally appropriate food.</w:t>
      </w:r>
      <w:r w:rsidR="0074584C" w:rsidRPr="00EF0311">
        <w:t xml:space="preserve"> </w:t>
      </w:r>
      <w:r w:rsidR="004F05A3" w:rsidRPr="00EF0311">
        <w:t>The cost of food</w:t>
      </w:r>
      <w:r w:rsidR="00A81653" w:rsidRPr="00EF0311">
        <w:t xml:space="preserve"> </w:t>
      </w:r>
      <w:r w:rsidR="004F05A3" w:rsidRPr="00EF0311">
        <w:t xml:space="preserve">increased by </w:t>
      </w:r>
      <w:r w:rsidR="00C329C0">
        <w:t>10.</w:t>
      </w:r>
      <w:r w:rsidR="005D05A2">
        <w:t>4</w:t>
      </w:r>
      <w:r w:rsidR="004F05A3" w:rsidRPr="00EF0311">
        <w:t xml:space="preserve">% in </w:t>
      </w:r>
      <w:r w:rsidR="005D05A2">
        <w:t xml:space="preserve">Ontario </w:t>
      </w:r>
      <w:r w:rsidR="004F05A3" w:rsidRPr="00EF0311">
        <w:t>2022</w:t>
      </w:r>
      <w:r w:rsidR="00270613">
        <w:t xml:space="preserve"> </w:t>
      </w:r>
      <w:r w:rsidR="00563E0C">
        <w:t>and there are</w:t>
      </w:r>
      <w:r w:rsidR="00270613">
        <w:t xml:space="preserve"> projections of 5%-7% increases in 2023</w:t>
      </w:r>
      <w:r w:rsidR="00FA2BD4">
        <w:t xml:space="preserve"> </w:t>
      </w:r>
      <w:r w:rsidR="007A1A99" w:rsidRPr="00EF0311">
        <w:t xml:space="preserve">on basics </w:t>
      </w:r>
      <w:r w:rsidR="00FA2BD4">
        <w:t>such as</w:t>
      </w:r>
      <w:r w:rsidR="007A1A99" w:rsidRPr="00EF0311">
        <w:t xml:space="preserve"> meat, </w:t>
      </w:r>
      <w:r w:rsidR="00161C7C" w:rsidRPr="00EF0311">
        <w:t xml:space="preserve">bread, </w:t>
      </w:r>
      <w:r w:rsidR="007A1A99" w:rsidRPr="00EF0311">
        <w:t>fruits and vegetables, and dairy.</w:t>
      </w:r>
      <w:r w:rsidR="00353280" w:rsidRPr="00353280">
        <w:rPr>
          <w:rStyle w:val="EndnoteReference"/>
        </w:rPr>
        <w:t xml:space="preserve"> </w:t>
      </w:r>
      <w:r w:rsidR="00353280" w:rsidRPr="00EF0311">
        <w:rPr>
          <w:rStyle w:val="EndnoteReference"/>
        </w:rPr>
        <w:endnoteReference w:id="21"/>
      </w:r>
      <w:r w:rsidR="00353280" w:rsidRPr="00EF0311">
        <w:t xml:space="preserve"> </w:t>
      </w:r>
      <w:r w:rsidR="00C53596">
        <w:t xml:space="preserve"> </w:t>
      </w:r>
      <w:r w:rsidR="00C53596" w:rsidRPr="006E7618">
        <w:t>Between January</w:t>
      </w:r>
      <w:r w:rsidR="007A4D08">
        <w:t xml:space="preserve"> 2022</w:t>
      </w:r>
      <w:r w:rsidR="00C53596" w:rsidRPr="006E7618">
        <w:t xml:space="preserve"> and September 2022, the number of people using food banks in Ontario increased by 24%, with one in three being first time users.</w:t>
      </w:r>
      <w:r w:rsidR="003B3211" w:rsidRPr="006E7618">
        <w:rPr>
          <w:rStyle w:val="EndnoteReference"/>
        </w:rPr>
        <w:endnoteReference w:id="22"/>
      </w:r>
      <w:r w:rsidR="00C53596" w:rsidRPr="006E7618">
        <w:t xml:space="preserve"> </w:t>
      </w:r>
      <w:r w:rsidR="006E7618" w:rsidRPr="006E7618">
        <w:t xml:space="preserve">With the rise of precarious employment, there is a </w:t>
      </w:r>
      <w:r w:rsidR="00C53596" w:rsidRPr="006E7618">
        <w:t xml:space="preserve">27% increase </w:t>
      </w:r>
      <w:r w:rsidR="00563E0C">
        <w:t>of employed people</w:t>
      </w:r>
      <w:r w:rsidR="00C53596" w:rsidRPr="006E7618">
        <w:t xml:space="preserve"> using foodbanks</w:t>
      </w:r>
      <w:r w:rsidR="006E7618" w:rsidRPr="006E7618">
        <w:t>.</w:t>
      </w:r>
      <w:r w:rsidR="006E7618" w:rsidRPr="006E7618">
        <w:rPr>
          <w:rStyle w:val="EndnoteReference"/>
        </w:rPr>
        <w:endnoteReference w:id="23"/>
      </w:r>
      <w:r w:rsidR="00AF74AA">
        <w:t xml:space="preserve"> Two</w:t>
      </w:r>
      <w:r w:rsidR="00AF74AA" w:rsidRPr="006E7618">
        <w:t xml:space="preserve"> out of three foodbank users rely on social assistance, the majority are single people</w:t>
      </w:r>
      <w:r w:rsidR="00AF74AA">
        <w:t>,</w:t>
      </w:r>
      <w:r w:rsidR="00AF74AA" w:rsidRPr="000B61CE">
        <w:rPr>
          <w:rStyle w:val="EndnoteReference"/>
        </w:rPr>
        <w:t xml:space="preserve"> </w:t>
      </w:r>
      <w:r w:rsidR="00AF74AA" w:rsidRPr="006E7618">
        <w:rPr>
          <w:rStyle w:val="EndnoteReference"/>
        </w:rPr>
        <w:endnoteReference w:id="24"/>
      </w:r>
      <w:r w:rsidR="00AF74AA" w:rsidRPr="006E7618">
        <w:t xml:space="preserve"> </w:t>
      </w:r>
      <w:r w:rsidR="00AF74AA">
        <w:t>and in Toronto, 65% are people with disabilities.</w:t>
      </w:r>
      <w:r w:rsidR="00AF74AA">
        <w:rPr>
          <w:rStyle w:val="EndnoteReference"/>
        </w:rPr>
        <w:endnoteReference w:id="25"/>
      </w:r>
      <w:r w:rsidR="00AF74AA" w:rsidRPr="006E7618">
        <w:t xml:space="preserve"> </w:t>
      </w:r>
      <w:r w:rsidR="007A4D08">
        <w:t>N</w:t>
      </w:r>
      <w:r w:rsidR="0042307A">
        <w:t>ewcomers</w:t>
      </w:r>
      <w:r w:rsidR="00562C17">
        <w:t xml:space="preserve">, </w:t>
      </w:r>
      <w:r w:rsidR="0042307A">
        <w:t>young people</w:t>
      </w:r>
      <w:r w:rsidR="00562C17">
        <w:t>, racialize</w:t>
      </w:r>
      <w:r w:rsidR="00EA16F1">
        <w:t>d</w:t>
      </w:r>
      <w:r w:rsidR="00562C17">
        <w:t xml:space="preserve"> people, people with disabilities</w:t>
      </w:r>
      <w:r w:rsidR="006B3D59">
        <w:t xml:space="preserve">, </w:t>
      </w:r>
      <w:r w:rsidR="00562C17">
        <w:t>people with precarious immigration status</w:t>
      </w:r>
      <w:r w:rsidR="00EA16F1">
        <w:t>, and seniors</w:t>
      </w:r>
      <w:r w:rsidR="007A4D08">
        <w:t xml:space="preserve"> are using foodbanks with increasing frequency</w:t>
      </w:r>
      <w:r w:rsidR="00FA2BD4">
        <w:t>.</w:t>
      </w:r>
      <w:r w:rsidR="0042307A">
        <w:rPr>
          <w:rStyle w:val="EndnoteReference"/>
        </w:rPr>
        <w:endnoteReference w:id="26"/>
      </w:r>
      <w:r w:rsidR="0042307A">
        <w:t xml:space="preserve"> </w:t>
      </w:r>
      <w:r w:rsidR="00507537">
        <w:t xml:space="preserve">Black and Indigenous people are impacted </w:t>
      </w:r>
      <w:r w:rsidR="00673C72">
        <w:t xml:space="preserve">by </w:t>
      </w:r>
      <w:r w:rsidR="00AF74AA">
        <w:t xml:space="preserve">food insecurity </w:t>
      </w:r>
      <w:r w:rsidR="00507537">
        <w:t xml:space="preserve">at two and three times the rate </w:t>
      </w:r>
      <w:r w:rsidR="007A7CD0">
        <w:t xml:space="preserve">respectively </w:t>
      </w:r>
      <w:r w:rsidR="00673C72">
        <w:t xml:space="preserve">compared </w:t>
      </w:r>
      <w:r w:rsidR="00BC289D">
        <w:t>with</w:t>
      </w:r>
      <w:r w:rsidR="00507537">
        <w:t xml:space="preserve"> the rest of the population.</w:t>
      </w:r>
      <w:r w:rsidR="00507537">
        <w:rPr>
          <w:rStyle w:val="EndnoteReference"/>
        </w:rPr>
        <w:endnoteReference w:id="27"/>
      </w:r>
      <w:r w:rsidR="00427430">
        <w:rPr>
          <w:vertAlign w:val="superscript"/>
        </w:rPr>
        <w:t>,</w:t>
      </w:r>
      <w:r w:rsidR="00F92972">
        <w:rPr>
          <w:rStyle w:val="EndnoteReference"/>
        </w:rPr>
        <w:endnoteReference w:id="28"/>
      </w:r>
      <w:r w:rsidR="00E84F7B">
        <w:t xml:space="preserve"> </w:t>
      </w:r>
    </w:p>
    <w:p w14:paraId="49429DFC" w14:textId="0F5EC4D2" w:rsidR="00253C42" w:rsidRPr="004D40E0" w:rsidRDefault="006E7618" w:rsidP="00597C53">
      <w:r w:rsidRPr="006E7618">
        <w:t xml:space="preserve">In addition to food and shelter, people on social assistance must pay for </w:t>
      </w:r>
      <w:r w:rsidR="00F6746A" w:rsidRPr="006E7618">
        <w:rPr>
          <w:color w:val="000000"/>
          <w:lang w:val="en-US" w:eastAsia="en-CA"/>
        </w:rPr>
        <w:t xml:space="preserve">utilities, </w:t>
      </w:r>
      <w:r w:rsidRPr="006E7618">
        <w:rPr>
          <w:color w:val="000000"/>
          <w:lang w:val="en-US"/>
        </w:rPr>
        <w:t xml:space="preserve">digital access, </w:t>
      </w:r>
      <w:r w:rsidR="002B5430" w:rsidRPr="006E7618">
        <w:rPr>
          <w:color w:val="000000"/>
          <w:lang w:val="en-US" w:eastAsia="en-CA"/>
        </w:rPr>
        <w:t>transportation</w:t>
      </w:r>
      <w:r w:rsidR="00554164">
        <w:rPr>
          <w:color w:val="000000"/>
          <w:lang w:val="en-US" w:eastAsia="en-CA"/>
        </w:rPr>
        <w:t>,</w:t>
      </w:r>
      <w:r w:rsidR="002B5430" w:rsidRPr="006E7618">
        <w:rPr>
          <w:color w:val="000000"/>
          <w:lang w:val="en-US" w:eastAsia="en-CA"/>
        </w:rPr>
        <w:t xml:space="preserve"> and </w:t>
      </w:r>
      <w:r w:rsidR="00AE6EED" w:rsidRPr="006E7618">
        <w:rPr>
          <w:color w:val="000000"/>
          <w:lang w:val="en-US" w:eastAsia="en-CA"/>
        </w:rPr>
        <w:t>the extra costs that people with disabilities experience based on their specific needs.</w:t>
      </w:r>
      <w:r w:rsidR="00A934C7" w:rsidRPr="006E7618">
        <w:rPr>
          <w:rStyle w:val="EndnoteReference"/>
          <w:color w:val="000000"/>
          <w:lang w:val="en-US" w:eastAsia="en-CA"/>
        </w:rPr>
        <w:endnoteReference w:id="29"/>
      </w:r>
      <w:r w:rsidR="004765CF">
        <w:rPr>
          <w:color w:val="000000"/>
          <w:lang w:val="en-US"/>
        </w:rPr>
        <w:t xml:space="preserve"> </w:t>
      </w:r>
      <w:r w:rsidR="00397139">
        <w:rPr>
          <w:color w:val="000000"/>
          <w:lang w:val="en-US"/>
        </w:rPr>
        <w:t>For this reason</w:t>
      </w:r>
      <w:r w:rsidR="00554164">
        <w:rPr>
          <w:color w:val="000000"/>
          <w:lang w:val="en-US"/>
        </w:rPr>
        <w:t>,</w:t>
      </w:r>
      <w:r w:rsidR="00397139">
        <w:rPr>
          <w:color w:val="000000"/>
          <w:lang w:val="en-US"/>
        </w:rPr>
        <w:t xml:space="preserve"> </w:t>
      </w:r>
      <w:r w:rsidR="0018709A">
        <w:rPr>
          <w:color w:val="000000"/>
          <w:lang w:val="en-US"/>
        </w:rPr>
        <w:t xml:space="preserve">approximately </w:t>
      </w:r>
      <w:r w:rsidR="00397139">
        <w:rPr>
          <w:color w:val="000000"/>
          <w:lang w:val="en-US"/>
        </w:rPr>
        <w:t xml:space="preserve">half of food bank users </w:t>
      </w:r>
      <w:r w:rsidR="00563629">
        <w:rPr>
          <w:color w:val="000000"/>
          <w:lang w:val="en-US"/>
        </w:rPr>
        <w:t>miss a meal</w:t>
      </w:r>
      <w:r w:rsidR="00397139">
        <w:rPr>
          <w:color w:val="000000"/>
          <w:lang w:val="en-US"/>
        </w:rPr>
        <w:t xml:space="preserve"> to pay for other necessities.</w:t>
      </w:r>
      <w:r w:rsidR="00397139">
        <w:rPr>
          <w:rStyle w:val="EndnoteReference"/>
          <w:color w:val="000000"/>
          <w:lang w:val="en-US"/>
        </w:rPr>
        <w:endnoteReference w:id="30"/>
      </w:r>
      <w:r w:rsidR="00397139">
        <w:rPr>
          <w:color w:val="000000"/>
          <w:lang w:val="en-US"/>
        </w:rPr>
        <w:t xml:space="preserve"> </w:t>
      </w:r>
      <w:r w:rsidR="00CA302F">
        <w:rPr>
          <w:color w:val="000000"/>
          <w:lang w:val="en-US"/>
        </w:rPr>
        <w:t xml:space="preserve">With the current </w:t>
      </w:r>
      <w:r w:rsidR="00FA2BD4">
        <w:rPr>
          <w:color w:val="000000"/>
          <w:lang w:val="en-US"/>
        </w:rPr>
        <w:t xml:space="preserve">social assistance </w:t>
      </w:r>
      <w:r w:rsidR="00CA302F">
        <w:rPr>
          <w:color w:val="000000"/>
          <w:lang w:val="en-US"/>
        </w:rPr>
        <w:t xml:space="preserve">rates, it is no wonder that 82% of </w:t>
      </w:r>
      <w:r w:rsidR="00B2404E">
        <w:rPr>
          <w:color w:val="000000"/>
          <w:lang w:val="en-US"/>
        </w:rPr>
        <w:t>foodbank users</w:t>
      </w:r>
      <w:r w:rsidR="00CA302F">
        <w:rPr>
          <w:color w:val="000000"/>
          <w:lang w:val="en-US"/>
        </w:rPr>
        <w:t xml:space="preserve"> in Toronto live below the deep poverty line, o</w:t>
      </w:r>
      <w:r w:rsidR="00B2404E">
        <w:rPr>
          <w:color w:val="000000"/>
          <w:lang w:val="en-US"/>
        </w:rPr>
        <w:t xml:space="preserve">r </w:t>
      </w:r>
      <w:r w:rsidR="00CA302F">
        <w:rPr>
          <w:color w:val="000000"/>
          <w:lang w:val="en-US"/>
        </w:rPr>
        <w:t>below 75% of MBM.</w:t>
      </w:r>
      <w:r w:rsidR="00CA302F">
        <w:rPr>
          <w:rStyle w:val="EndnoteReference"/>
          <w:color w:val="000000"/>
          <w:lang w:val="en-US"/>
        </w:rPr>
        <w:endnoteReference w:id="31"/>
      </w:r>
      <w:r w:rsidR="00FA2BD4">
        <w:rPr>
          <w:color w:val="000000"/>
          <w:lang w:val="en-US"/>
        </w:rPr>
        <w:t xml:space="preserve"> </w:t>
      </w:r>
      <w:r w:rsidR="00E84F7B">
        <w:t>For people with precarious immigration status who have barriers to accessing social assistance</w:t>
      </w:r>
      <w:r w:rsidR="002B5A11">
        <w:t>,</w:t>
      </w:r>
      <w:r w:rsidR="00E84F7B">
        <w:t xml:space="preserve"> the situation could be even worse. </w:t>
      </w:r>
      <w:r w:rsidR="001B19C2">
        <w:t>The</w:t>
      </w:r>
      <w:r w:rsidR="00597C53" w:rsidRPr="004D40E0">
        <w:t xml:space="preserve"> Province has </w:t>
      </w:r>
      <w:r w:rsidR="004D40E0">
        <w:t>much to</w:t>
      </w:r>
      <w:r w:rsidR="00597C53" w:rsidRPr="004D40E0">
        <w:t xml:space="preserve"> lose if it does not invest in social assistance clients to curb the increase of evictions</w:t>
      </w:r>
      <w:r w:rsidR="004D40E0">
        <w:t xml:space="preserve"> </w:t>
      </w:r>
      <w:r w:rsidR="00597C53" w:rsidRPr="004D40E0">
        <w:t>and risk of homelessness, food insecurity, and subsequent worse health outcomes</w:t>
      </w:r>
      <w:r w:rsidR="00597C53" w:rsidRPr="004D40E0">
        <w:rPr>
          <w:rStyle w:val="EndnoteReference"/>
        </w:rPr>
        <w:endnoteReference w:id="32"/>
      </w:r>
      <w:r w:rsidR="00597C53" w:rsidRPr="004D40E0">
        <w:t xml:space="preserve"> that are a result of the </w:t>
      </w:r>
      <w:r w:rsidR="002B5A11" w:rsidRPr="004D40E0">
        <w:t>rising inflation</w:t>
      </w:r>
      <w:r w:rsidR="00597C53" w:rsidRPr="004D40E0">
        <w:t>. If action is not taken immediately, shelters and emergency rooms will continue to be inundated at increased cost to the Province.</w:t>
      </w:r>
    </w:p>
    <w:p w14:paraId="029002E2" w14:textId="77777777" w:rsidR="00597C53" w:rsidRPr="00597C53" w:rsidRDefault="00597C53" w:rsidP="00597C53">
      <w:pPr>
        <w:rPr>
          <w:highlight w:val="yellow"/>
        </w:rPr>
      </w:pPr>
    </w:p>
    <w:p w14:paraId="65F8F93B" w14:textId="70693642" w:rsidR="0001125A" w:rsidRDefault="00253C42" w:rsidP="00532B49">
      <w:r w:rsidRPr="004C2A16">
        <w:t xml:space="preserve">The Province has seen significant savings from reduced caseloads during the COVID-19 pandemic and is in a good financial position to make investments in social assistance rates. </w:t>
      </w:r>
      <w:r w:rsidR="0001125A">
        <w:t>Social assistance c</w:t>
      </w:r>
      <w:r w:rsidRPr="004C2A16">
        <w:t>aseloads remain more than 100,000 people below pre-pandemic levels.</w:t>
      </w:r>
      <w:r w:rsidRPr="004C2A16">
        <w:rPr>
          <w:rStyle w:val="EndnoteReference"/>
        </w:rPr>
        <w:endnoteReference w:id="33"/>
      </w:r>
      <w:r w:rsidRPr="004C2A16">
        <w:t xml:space="preserve"> With $1 billion saved in social assistance costs during the pandemic,</w:t>
      </w:r>
      <w:r w:rsidRPr="004C2A16">
        <w:rPr>
          <w:rStyle w:val="EndnoteReference"/>
        </w:rPr>
        <w:endnoteReference w:id="34"/>
      </w:r>
      <w:r w:rsidR="00427430">
        <w:rPr>
          <w:vertAlign w:val="superscript"/>
        </w:rPr>
        <w:t>,</w:t>
      </w:r>
      <w:r w:rsidR="00427430">
        <w:rPr>
          <w:rStyle w:val="EndnoteReference"/>
        </w:rPr>
        <w:endnoteReference w:id="35"/>
      </w:r>
      <w:r w:rsidR="00427430">
        <w:rPr>
          <w:rStyle w:val="EndnoteReference"/>
        </w:rPr>
        <w:t>,</w:t>
      </w:r>
      <w:r w:rsidR="00427430">
        <w:rPr>
          <w:rStyle w:val="EndnoteReference"/>
        </w:rPr>
        <w:endnoteReference w:id="36"/>
      </w:r>
      <w:r w:rsidR="00427430">
        <w:rPr>
          <w:rStyle w:val="EndnoteReference"/>
        </w:rPr>
        <w:t xml:space="preserve"> </w:t>
      </w:r>
      <w:r w:rsidR="00475C47">
        <w:rPr>
          <w:rStyle w:val="EndnoteReference"/>
        </w:rPr>
        <w:t xml:space="preserve"> </w:t>
      </w:r>
      <w:r w:rsidRPr="004C2A16">
        <w:t xml:space="preserve">the Province </w:t>
      </w:r>
      <w:r w:rsidR="00475C47">
        <w:t>can</w:t>
      </w:r>
      <w:r w:rsidRPr="004C2A16">
        <w:t xml:space="preserve"> afford to raise both OW and ODSP rates by 10% against 2018 rates today. Further, with a $2.1 billion surplus last year, </w:t>
      </w:r>
      <w:r w:rsidR="00475C47">
        <w:t xml:space="preserve">and </w:t>
      </w:r>
      <w:r w:rsidR="00475C47">
        <w:lastRenderedPageBreak/>
        <w:t>$19.7 billion allocated in excess funds over the next three years,</w:t>
      </w:r>
      <w:r w:rsidR="00475C47">
        <w:rPr>
          <w:rStyle w:val="EndnoteReference"/>
        </w:rPr>
        <w:endnoteReference w:id="37"/>
      </w:r>
      <w:r w:rsidR="00475C47">
        <w:t xml:space="preserve"> </w:t>
      </w:r>
      <w:r w:rsidRPr="004C2A16">
        <w:t xml:space="preserve"> the Province is in a good financial position and can afford to do more for Ontarians living in deep poverty. </w:t>
      </w:r>
    </w:p>
    <w:p w14:paraId="5518945D" w14:textId="77777777" w:rsidR="0001125A" w:rsidRDefault="0001125A" w:rsidP="00532B49"/>
    <w:p w14:paraId="573F2769" w14:textId="2F844097" w:rsidR="00253C42" w:rsidRPr="00253C42" w:rsidRDefault="00253C42" w:rsidP="00532B49">
      <w:r w:rsidRPr="004C2A16">
        <w:t>To “achieve the goals of life stabilization”</w:t>
      </w:r>
      <w:r w:rsidRPr="004C2A16">
        <w:rPr>
          <w:rStyle w:val="EndnoteReference"/>
        </w:rPr>
        <w:t xml:space="preserve"> </w:t>
      </w:r>
      <w:r w:rsidRPr="004C2A16">
        <w:rPr>
          <w:rStyle w:val="EndnoteReference"/>
        </w:rPr>
        <w:endnoteReference w:id="38"/>
      </w:r>
      <w:r w:rsidRPr="004C2A16">
        <w:rPr>
          <w:rStyle w:val="EndnoteReference"/>
          <w:vertAlign w:val="baseline"/>
        </w:rPr>
        <w:t xml:space="preserve"> </w:t>
      </w:r>
      <w:r w:rsidRPr="004C2A16">
        <w:t xml:space="preserve">as per the Province’s </w:t>
      </w:r>
      <w:r w:rsidRPr="004C2A16">
        <w:rPr>
          <w:i/>
          <w:iCs/>
        </w:rPr>
        <w:t>Vision for Social Assistance</w:t>
      </w:r>
      <w:r w:rsidRPr="004C2A16">
        <w:t xml:space="preserve">, </w:t>
      </w:r>
      <w:r w:rsidRPr="004C2A16">
        <w:rPr>
          <w:i/>
          <w:iCs/>
        </w:rPr>
        <w:t xml:space="preserve"> </w:t>
      </w:r>
      <w:r w:rsidR="007C6B7D">
        <w:t xml:space="preserve">social assistance </w:t>
      </w:r>
      <w:r w:rsidRPr="004C2A16">
        <w:t xml:space="preserve">rates must be </w:t>
      </w:r>
      <w:r w:rsidR="004C7745">
        <w:t xml:space="preserve">increased </w:t>
      </w:r>
      <w:r w:rsidRPr="004C2A16">
        <w:t xml:space="preserve">immediately and significantly.  </w:t>
      </w:r>
      <w:r w:rsidR="0001125A">
        <w:t>T</w:t>
      </w:r>
      <w:r w:rsidRPr="004C2A16">
        <w:t>his government</w:t>
      </w:r>
      <w:r w:rsidR="0001125A">
        <w:t xml:space="preserve"> must</w:t>
      </w:r>
      <w:r w:rsidRPr="004C2A16">
        <w:t xml:space="preserve"> immediately implement a parallel rate indexation and increase</w:t>
      </w:r>
      <w:r w:rsidR="007C6B7D">
        <w:t xml:space="preserve">d </w:t>
      </w:r>
      <w:r w:rsidRPr="004C2A16">
        <w:t>earnings exemption for OW</w:t>
      </w:r>
      <w:r w:rsidR="004C7745">
        <w:t xml:space="preserve"> and ODSP dependent adults</w:t>
      </w:r>
      <w:r w:rsidR="007C6B7D">
        <w:t>,</w:t>
      </w:r>
      <w:r w:rsidRPr="004C2A16">
        <w:t xml:space="preserve"> and  double</w:t>
      </w:r>
      <w:r w:rsidR="0001125A">
        <w:t xml:space="preserve"> social assistance</w:t>
      </w:r>
      <w:r w:rsidRPr="004C2A16">
        <w:t xml:space="preserve"> rates against 2018 rates</w:t>
      </w:r>
      <w:r w:rsidR="004765CF">
        <w:t xml:space="preserve"> to allow </w:t>
      </w:r>
      <w:r w:rsidR="004765CF" w:rsidRPr="004765CF">
        <w:t>social assistance clients to live a life of autonomy, health</w:t>
      </w:r>
      <w:r w:rsidR="0001125A">
        <w:t>,</w:t>
      </w:r>
      <w:r w:rsidR="004765CF" w:rsidRPr="004765CF">
        <w:t xml:space="preserve"> and basic human dignity.</w:t>
      </w:r>
    </w:p>
    <w:p w14:paraId="6BDFD517" w14:textId="7AF314B3" w:rsidR="00260FD7" w:rsidRDefault="00260FD7" w:rsidP="00260FD7">
      <w:pPr>
        <w:rPr>
          <w:color w:val="000000" w:themeColor="text1"/>
          <w:highlight w:val="yellow"/>
        </w:rPr>
      </w:pPr>
    </w:p>
    <w:p w14:paraId="4964A7E0" w14:textId="46B1FE90" w:rsidR="00260FD7" w:rsidRPr="007C495D" w:rsidRDefault="00260FD7" w:rsidP="00E83440">
      <w:pPr>
        <w:ind w:left="720"/>
        <w:contextualSpacing/>
        <w:rPr>
          <w:bCs/>
          <w:shd w:val="clear" w:color="auto" w:fill="FFFFFF"/>
        </w:rPr>
      </w:pPr>
      <w:r w:rsidRPr="007C495D">
        <w:rPr>
          <w:b/>
        </w:rPr>
        <w:t>Recommendation #</w:t>
      </w:r>
      <w:r w:rsidR="004C7745">
        <w:rPr>
          <w:b/>
        </w:rPr>
        <w:t>1</w:t>
      </w:r>
      <w:r w:rsidRPr="007C495D">
        <w:rPr>
          <w:b/>
        </w:rPr>
        <w:t>:</w:t>
      </w:r>
      <w:r w:rsidRPr="007C495D">
        <w:t xml:space="preserve"> </w:t>
      </w:r>
      <w:r w:rsidRPr="007C495D">
        <w:rPr>
          <w:bCs/>
          <w:shd w:val="clear" w:color="auto" w:fill="FFFFFF"/>
        </w:rPr>
        <w:t>Raise social assistance rates and broaden access</w:t>
      </w:r>
    </w:p>
    <w:p w14:paraId="35890F3F" w14:textId="77777777" w:rsidR="00260FD7" w:rsidRPr="007C495D" w:rsidRDefault="00260FD7" w:rsidP="00260FD7">
      <w:pPr>
        <w:tabs>
          <w:tab w:val="left" w:pos="-567"/>
        </w:tabs>
        <w:rPr>
          <w:bCs/>
          <w:shd w:val="clear" w:color="auto" w:fill="FFFFFF"/>
        </w:rPr>
      </w:pPr>
    </w:p>
    <w:p w14:paraId="661AB9AD" w14:textId="3A2419DF" w:rsidR="00260FD7" w:rsidRPr="006A1F9C" w:rsidRDefault="00260FD7" w:rsidP="006A1F9C">
      <w:pPr>
        <w:pStyle w:val="ListParagraph"/>
        <w:numPr>
          <w:ilvl w:val="0"/>
          <w:numId w:val="18"/>
        </w:numPr>
        <w:rPr>
          <w:color w:val="000000" w:themeColor="text1"/>
        </w:rPr>
      </w:pPr>
      <w:r w:rsidRPr="006A1F9C">
        <w:rPr>
          <w:color w:val="000000" w:themeColor="text1"/>
        </w:rPr>
        <w:t>Increase Ontario Works</w:t>
      </w:r>
      <w:r w:rsidR="00500EBE">
        <w:rPr>
          <w:color w:val="000000" w:themeColor="text1"/>
        </w:rPr>
        <w:t xml:space="preserve"> and Ontario Disability Support Program dependent adults</w:t>
      </w:r>
      <w:r w:rsidRPr="006A1F9C">
        <w:rPr>
          <w:color w:val="000000" w:themeColor="text1"/>
        </w:rPr>
        <w:t xml:space="preserve"> earnings exemptions to $1000</w:t>
      </w:r>
      <w:r w:rsidR="004A7360">
        <w:rPr>
          <w:color w:val="000000" w:themeColor="text1"/>
        </w:rPr>
        <w:t xml:space="preserve"> per month</w:t>
      </w:r>
      <w:r w:rsidRPr="006A1F9C">
        <w:rPr>
          <w:color w:val="000000" w:themeColor="text1"/>
        </w:rPr>
        <w:t>.</w:t>
      </w:r>
    </w:p>
    <w:p w14:paraId="2A52213A" w14:textId="052C0BA4" w:rsidR="00260FD7" w:rsidRPr="006A1F9C" w:rsidRDefault="00260FD7" w:rsidP="006A1F9C">
      <w:pPr>
        <w:pStyle w:val="ListParagraph"/>
        <w:numPr>
          <w:ilvl w:val="0"/>
          <w:numId w:val="18"/>
        </w:numPr>
        <w:rPr>
          <w:color w:val="000000" w:themeColor="text1"/>
        </w:rPr>
      </w:pPr>
      <w:r w:rsidRPr="006A1F9C">
        <w:rPr>
          <w:color w:val="000000" w:themeColor="text1"/>
        </w:rPr>
        <w:t xml:space="preserve">Index Ontario Works rates and double both Ontario Works and Ontario Disability Support Program rates against 2018 rates. </w:t>
      </w:r>
    </w:p>
    <w:p w14:paraId="1F215549" w14:textId="77777777" w:rsidR="00260FD7" w:rsidRPr="00477961" w:rsidRDefault="00260FD7" w:rsidP="006A1F9C">
      <w:pPr>
        <w:pStyle w:val="ListParagraph"/>
        <w:numPr>
          <w:ilvl w:val="0"/>
          <w:numId w:val="18"/>
        </w:numPr>
        <w:rPr>
          <w:color w:val="000000" w:themeColor="text1"/>
        </w:rPr>
      </w:pPr>
      <w:r w:rsidRPr="00477961">
        <w:rPr>
          <w:color w:val="000000" w:themeColor="text1"/>
        </w:rPr>
        <w:t>Ensure access to social assistance to all people who live in Ontario, regardless of immigration status.</w:t>
      </w:r>
    </w:p>
    <w:p w14:paraId="5A6E028C" w14:textId="77777777" w:rsidR="00260FD7" w:rsidRPr="00260FD7" w:rsidRDefault="00260FD7" w:rsidP="00260FD7">
      <w:pPr>
        <w:rPr>
          <w:color w:val="000000" w:themeColor="text1"/>
          <w:highlight w:val="yellow"/>
        </w:rPr>
      </w:pPr>
    </w:p>
    <w:p w14:paraId="39EC754E" w14:textId="77777777" w:rsidR="00E00455" w:rsidRPr="002B1715" w:rsidRDefault="00E00455" w:rsidP="004F3135">
      <w:pPr>
        <w:rPr>
          <w:highlight w:val="yellow"/>
        </w:rPr>
      </w:pPr>
    </w:p>
    <w:p w14:paraId="5375C29D" w14:textId="6ABAFFF7" w:rsidR="004C7745" w:rsidRPr="004C7745" w:rsidRDefault="00EB3C16" w:rsidP="004C7745">
      <w:pPr>
        <w:pStyle w:val="Heading1"/>
        <w:numPr>
          <w:ilvl w:val="0"/>
          <w:numId w:val="20"/>
        </w:numPr>
        <w:rPr>
          <w:bCs/>
          <w:shd w:val="clear" w:color="auto" w:fill="FFFFFF"/>
        </w:rPr>
      </w:pPr>
      <w:r w:rsidRPr="004C7745">
        <w:rPr>
          <w:bCs/>
          <w:shd w:val="clear" w:color="auto" w:fill="FFFFFF"/>
        </w:rPr>
        <w:t>Allow social assistance clients to keep more money in their pockets</w:t>
      </w:r>
    </w:p>
    <w:p w14:paraId="755140A1" w14:textId="157B6155" w:rsidR="00AD7913" w:rsidRDefault="00AD7913" w:rsidP="004F3135">
      <w:pPr>
        <w:rPr>
          <w:u w:val="single"/>
        </w:rPr>
      </w:pPr>
      <w:r>
        <w:rPr>
          <w:u w:val="single"/>
        </w:rPr>
        <w:t>Forgive overpayments due to temporary federal pandemic-related benefits</w:t>
      </w:r>
    </w:p>
    <w:p w14:paraId="3951C2DC" w14:textId="77777777" w:rsidR="00AD7913" w:rsidRPr="00AD7913" w:rsidRDefault="00AD7913" w:rsidP="004F3135">
      <w:pPr>
        <w:rPr>
          <w:u w:val="single"/>
        </w:rPr>
      </w:pPr>
    </w:p>
    <w:p w14:paraId="020A74FC" w14:textId="7D1DFEA5" w:rsidR="00B829A3" w:rsidRDefault="00EB3C16" w:rsidP="004F3135">
      <w:r w:rsidRPr="00EB3C16">
        <w:t xml:space="preserve">During the COVID-19 pandemic, </w:t>
      </w:r>
      <w:r w:rsidR="001B19C2">
        <w:t>many</w:t>
      </w:r>
      <w:r w:rsidRPr="00EB3C16">
        <w:t xml:space="preserve"> social assistance clients accessed </w:t>
      </w:r>
      <w:r w:rsidR="006835D5">
        <w:t xml:space="preserve">temporary </w:t>
      </w:r>
      <w:r w:rsidRPr="00EB3C16">
        <w:t>federal pandemic</w:t>
      </w:r>
      <w:r w:rsidR="006835D5">
        <w:t xml:space="preserve">-related </w:t>
      </w:r>
      <w:r w:rsidRPr="00EB3C16">
        <w:t>benefits, sometimes on the advice of their caseworker</w:t>
      </w:r>
      <w:r w:rsidR="0001125A">
        <w:t>s</w:t>
      </w:r>
      <w:r w:rsidRPr="00EB3C16">
        <w:t xml:space="preserve"> under the obligation to pursue resource</w:t>
      </w:r>
      <w:r w:rsidR="00642443">
        <w:t>s</w:t>
      </w:r>
      <w:r w:rsidR="0001125A">
        <w:t>.</w:t>
      </w:r>
      <w:r w:rsidR="00642443">
        <w:rPr>
          <w:rStyle w:val="EndnoteReference"/>
        </w:rPr>
        <w:endnoteReference w:id="39"/>
      </w:r>
      <w:r w:rsidR="00E74EBC">
        <w:rPr>
          <w:vertAlign w:val="superscript"/>
        </w:rPr>
        <w:t>,</w:t>
      </w:r>
      <w:r w:rsidR="00E74EBC">
        <w:rPr>
          <w:rStyle w:val="EndnoteReference"/>
        </w:rPr>
        <w:endnoteReference w:id="40"/>
      </w:r>
      <w:r w:rsidR="00642443">
        <w:t xml:space="preserve"> </w:t>
      </w:r>
      <w:r w:rsidRPr="00EB3C16">
        <w:t xml:space="preserve">Many who applied in good faith have </w:t>
      </w:r>
      <w:r w:rsidR="00B829A3">
        <w:t xml:space="preserve">now </w:t>
      </w:r>
      <w:r w:rsidRPr="00EB3C16">
        <w:t>been asked to repay the federal government but are also in a situation of overpayment with the Province</w:t>
      </w:r>
      <w:r>
        <w:t>. The complexity of negotiating two jurisdictions of government</w:t>
      </w:r>
      <w:r w:rsidR="00B829A3">
        <w:t xml:space="preserve"> </w:t>
      </w:r>
      <w:r>
        <w:t xml:space="preserve">while living in deep poverty, as well as risk of paying twice is increasing the stress for </w:t>
      </w:r>
      <w:r w:rsidR="00B829A3">
        <w:t>these</w:t>
      </w:r>
      <w:r>
        <w:t xml:space="preserve"> clients.</w:t>
      </w:r>
      <w:r w:rsidR="00B829A3" w:rsidRPr="00B829A3">
        <w:t xml:space="preserve"> </w:t>
      </w:r>
      <w:r w:rsidR="00B829A3" w:rsidRPr="008520A5">
        <w:t>Recovery of these overpayments only deepens clients’ poverty</w:t>
      </w:r>
      <w:r w:rsidR="00B829A3">
        <w:t>.</w:t>
      </w:r>
      <w:r>
        <w:t xml:space="preserve"> </w:t>
      </w:r>
    </w:p>
    <w:p w14:paraId="5595E17E" w14:textId="77777777" w:rsidR="00B829A3" w:rsidRDefault="00B829A3" w:rsidP="004F3135"/>
    <w:p w14:paraId="4C1A86F0" w14:textId="031DEF52" w:rsidR="00A53F0F" w:rsidRPr="008520A5" w:rsidRDefault="006A1F9C" w:rsidP="004F3135">
      <w:r>
        <w:t>To ensure that social assistance clients are not further impoverished</w:t>
      </w:r>
      <w:r w:rsidR="00253DAB">
        <w:t xml:space="preserve">, </w:t>
      </w:r>
      <w:r>
        <w:t>and to reduce the administrative burden, ISAC urges the province to forgive overpayments from all sources of income received from federal pandemic</w:t>
      </w:r>
      <w:r w:rsidR="005B17CC">
        <w:t xml:space="preserve">-related </w:t>
      </w:r>
      <w:r>
        <w:t xml:space="preserve">benefits including: Canada Emergency Response Benefit (CERB), Canada Recovery Benefit (CRB), Canada Recovery Caregiver Benefit (CRCB), Canada Recovery Sickness Benefit (CRSB), </w:t>
      </w:r>
      <w:r w:rsidR="00253DAB">
        <w:t xml:space="preserve">and the </w:t>
      </w:r>
      <w:r>
        <w:t xml:space="preserve">Canada Worker Lockdown Benefit (CWLB). </w:t>
      </w:r>
      <w:r w:rsidR="00854097">
        <w:t xml:space="preserve"> </w:t>
      </w:r>
      <w:r w:rsidR="00253DAB">
        <w:t>The Province can afford overpayment forgiveness</w:t>
      </w:r>
      <w:r w:rsidR="00253DAB">
        <w:rPr>
          <w:lang w:val="en-US"/>
        </w:rPr>
        <w:t xml:space="preserve">. </w:t>
      </w:r>
      <w:r w:rsidR="00854097" w:rsidRPr="00854097">
        <w:rPr>
          <w:lang w:val="en-US"/>
        </w:rPr>
        <w:t>F</w:t>
      </w:r>
      <w:r w:rsidR="00A14E1B" w:rsidRPr="00854097">
        <w:rPr>
          <w:lang w:val="en-US"/>
        </w:rPr>
        <w:t>or the duration of the pandemic</w:t>
      </w:r>
      <w:r w:rsidR="00253DAB">
        <w:rPr>
          <w:lang w:val="en-US"/>
        </w:rPr>
        <w:t>,</w:t>
      </w:r>
      <w:r w:rsidR="00C84DEC" w:rsidRPr="00854097">
        <w:rPr>
          <w:lang w:val="en-US"/>
        </w:rPr>
        <w:t xml:space="preserve"> </w:t>
      </w:r>
      <w:r w:rsidR="00A14E1B" w:rsidRPr="00854097">
        <w:rPr>
          <w:lang w:val="en-US"/>
        </w:rPr>
        <w:t>87%</w:t>
      </w:r>
      <w:r w:rsidR="00C84DEC" w:rsidRPr="00854097">
        <w:rPr>
          <w:lang w:val="en-US"/>
        </w:rPr>
        <w:t xml:space="preserve"> of supports </w:t>
      </w:r>
      <w:r w:rsidR="00B829A3">
        <w:rPr>
          <w:lang w:val="en-US"/>
        </w:rPr>
        <w:t>were</w:t>
      </w:r>
      <w:r w:rsidR="00C84DEC" w:rsidRPr="00854097">
        <w:rPr>
          <w:lang w:val="en-US"/>
        </w:rPr>
        <w:t xml:space="preserve"> </w:t>
      </w:r>
      <w:r w:rsidR="00A14E1B" w:rsidRPr="00854097">
        <w:rPr>
          <w:lang w:val="en-US"/>
        </w:rPr>
        <w:t>federally funded</w:t>
      </w:r>
      <w:r w:rsidR="00C84DEC" w:rsidRPr="00854097">
        <w:rPr>
          <w:lang w:val="en-US"/>
        </w:rPr>
        <w:t xml:space="preserve">, </w:t>
      </w:r>
      <w:r w:rsidR="00854097" w:rsidRPr="00854097">
        <w:rPr>
          <w:lang w:val="en-US"/>
        </w:rPr>
        <w:t>which eased</w:t>
      </w:r>
      <w:r w:rsidR="00C84DEC" w:rsidRPr="00854097">
        <w:rPr>
          <w:lang w:val="en-US"/>
        </w:rPr>
        <w:t xml:space="preserve"> the financial burden on the Province</w:t>
      </w:r>
      <w:r w:rsidR="00854097" w:rsidRPr="00854097">
        <w:rPr>
          <w:lang w:val="en-US"/>
        </w:rPr>
        <w:t xml:space="preserve">. </w:t>
      </w:r>
      <w:r w:rsidR="009E3E5B" w:rsidRPr="00854097">
        <w:rPr>
          <w:rStyle w:val="EndnoteReference"/>
          <w:lang w:val="en-US"/>
        </w:rPr>
        <w:endnoteReference w:id="41"/>
      </w:r>
      <w:r w:rsidR="00A7207C" w:rsidRPr="00854097">
        <w:t xml:space="preserve"> </w:t>
      </w:r>
      <w:r w:rsidR="00B829A3">
        <w:t>Further, t</w:t>
      </w:r>
      <w:r w:rsidR="00854097" w:rsidRPr="00854097">
        <w:t xml:space="preserve">he Province </w:t>
      </w:r>
      <w:r w:rsidR="00A53F0F">
        <w:t>accumulated significant savings</w:t>
      </w:r>
      <w:r w:rsidR="00854097" w:rsidRPr="00854097">
        <w:t xml:space="preserve"> when it clawed back CERB at 50% and the CRB, CRCB, C</w:t>
      </w:r>
      <w:r w:rsidR="00854097" w:rsidRPr="00A623F2">
        <w:t>RSB</w:t>
      </w:r>
      <w:r w:rsidR="0001125A">
        <w:t>,</w:t>
      </w:r>
      <w:r w:rsidR="00854097" w:rsidRPr="00A623F2">
        <w:t xml:space="preserve"> and CWLB dollar</w:t>
      </w:r>
      <w:r w:rsidR="00854097" w:rsidRPr="00854097">
        <w:t xml:space="preserve">-for-dollar </w:t>
      </w:r>
      <w:r w:rsidR="00B829A3">
        <w:t>due to clients accessing federal pandemic-related benefits.</w:t>
      </w:r>
    </w:p>
    <w:p w14:paraId="719C1A22" w14:textId="17F3E5E5" w:rsidR="00573C45" w:rsidRDefault="00573C45" w:rsidP="00DE6C12">
      <w:pPr>
        <w:rPr>
          <w:highlight w:val="yellow"/>
        </w:rPr>
      </w:pPr>
    </w:p>
    <w:p w14:paraId="02C74867" w14:textId="19C40ABC" w:rsidR="00AD7913" w:rsidRPr="00AD7913" w:rsidRDefault="00AD7913" w:rsidP="00DE6C12">
      <w:pPr>
        <w:rPr>
          <w:u w:val="single"/>
        </w:rPr>
      </w:pPr>
      <w:r w:rsidRPr="00AD7913">
        <w:rPr>
          <w:u w:val="single"/>
        </w:rPr>
        <w:t>Implement three regulatory changes</w:t>
      </w:r>
    </w:p>
    <w:p w14:paraId="2540BB2A" w14:textId="3F58F96C" w:rsidR="00AD7913" w:rsidRDefault="00AD7913" w:rsidP="00DE6C12">
      <w:pPr>
        <w:rPr>
          <w:highlight w:val="yellow"/>
        </w:rPr>
      </w:pPr>
    </w:p>
    <w:p w14:paraId="536582CB" w14:textId="56153BC2" w:rsidR="00AD7913" w:rsidRDefault="00E3327C" w:rsidP="00DE6C12">
      <w:r>
        <w:t>First,</w:t>
      </w:r>
      <w:r w:rsidR="00AD7913" w:rsidRPr="00C02E0C">
        <w:t xml:space="preserve"> implement a flat-rate structure </w:t>
      </w:r>
      <w:r w:rsidR="0001125A">
        <w:t xml:space="preserve">for social assistance income support </w:t>
      </w:r>
      <w:r w:rsidR="00AD7913" w:rsidRPr="00C02E0C">
        <w:t>that will replace the division of basic needs and shelter allowances.</w:t>
      </w:r>
      <w:r w:rsidR="00AD7913" w:rsidRPr="00C02E0C">
        <w:rPr>
          <w:rStyle w:val="EndnoteReference"/>
        </w:rPr>
        <w:endnoteReference w:id="42"/>
      </w:r>
      <w:r w:rsidR="00E74EBC">
        <w:rPr>
          <w:vertAlign w:val="superscript"/>
        </w:rPr>
        <w:t>,</w:t>
      </w:r>
      <w:r w:rsidR="00E74EBC">
        <w:rPr>
          <w:rStyle w:val="EndnoteReference"/>
        </w:rPr>
        <w:endnoteReference w:id="43"/>
      </w:r>
      <w:r w:rsidR="00AD7913" w:rsidRPr="00C02E0C">
        <w:t xml:space="preserve"> </w:t>
      </w:r>
      <w:r w:rsidR="00E74EBC">
        <w:t xml:space="preserve"> </w:t>
      </w:r>
      <w:r w:rsidR="00253DAB">
        <w:t xml:space="preserve">Clients with no fixed address </w:t>
      </w:r>
      <w:r w:rsidR="00C02E0C" w:rsidRPr="00C02E0C">
        <w:t xml:space="preserve">cruelly do not receive the shelter allowance they require to secure shelter and are $390 poorer on OW and $522 poorer on ODSP. </w:t>
      </w:r>
      <w:r w:rsidR="00253DAB">
        <w:t xml:space="preserve">Clients in </w:t>
      </w:r>
      <w:r w:rsidR="00987981">
        <w:t>r</w:t>
      </w:r>
      <w:r w:rsidR="00253DAB">
        <w:t>ent-</w:t>
      </w:r>
      <w:r w:rsidR="00987981">
        <w:t>g</w:t>
      </w:r>
      <w:r w:rsidR="00253DAB">
        <w:t>eared-to-</w:t>
      </w:r>
      <w:r w:rsidR="00987981">
        <w:t>i</w:t>
      </w:r>
      <w:r w:rsidR="00253DAB">
        <w:t xml:space="preserve">ncome housing also do not receive the full shelter allowance. Likewise, clients </w:t>
      </w:r>
      <w:r w:rsidR="00C02E0C" w:rsidRPr="00C02E0C">
        <w:t>who live in board and lodge settings</w:t>
      </w:r>
      <w:r w:rsidR="00253DAB">
        <w:t xml:space="preserve"> and have someone preparing their food,</w:t>
      </w:r>
      <w:r w:rsidR="00C02E0C" w:rsidRPr="00C02E0C">
        <w:t xml:space="preserve"> do not receive the full social assistant rate amount. </w:t>
      </w:r>
      <w:r w:rsidR="00C02E0C">
        <w:t xml:space="preserve">To eliminate the discrepancy between </w:t>
      </w:r>
      <w:r w:rsidR="00C02E0C">
        <w:lastRenderedPageBreak/>
        <w:t xml:space="preserve">different housing situations and rate benefit amounts, ISAC recommends the Province implement </w:t>
      </w:r>
      <w:r w:rsidR="00253DAB">
        <w:t>a more equitable</w:t>
      </w:r>
      <w:r w:rsidR="00C02E0C">
        <w:t xml:space="preserve"> flat-rate structure for all clients.</w:t>
      </w:r>
    </w:p>
    <w:p w14:paraId="1A233595" w14:textId="1CCC9061" w:rsidR="00C02E0C" w:rsidRDefault="00C02E0C" w:rsidP="00DE6C12"/>
    <w:p w14:paraId="6816275B" w14:textId="53554DDC" w:rsidR="003A1AF3" w:rsidRDefault="00E3327C" w:rsidP="00DE6C12">
      <w:r>
        <w:t>Second,</w:t>
      </w:r>
      <w:r w:rsidR="00397518">
        <w:t xml:space="preserve"> </w:t>
      </w:r>
      <w:r w:rsidR="001B19C2">
        <w:t xml:space="preserve">implement an option to </w:t>
      </w:r>
      <w:r w:rsidR="00397518">
        <w:t xml:space="preserve">reconcile earnings on an annual </w:t>
      </w:r>
      <w:r w:rsidR="001B19C2">
        <w:t>as well as on</w:t>
      </w:r>
      <w:r w:rsidR="00397518">
        <w:t xml:space="preserve"> </w:t>
      </w:r>
      <w:r>
        <w:t xml:space="preserve">a </w:t>
      </w:r>
      <w:r w:rsidR="00397518">
        <w:t>monthly basis.</w:t>
      </w:r>
      <w:r w:rsidR="00397518">
        <w:rPr>
          <w:rStyle w:val="EndnoteReference"/>
        </w:rPr>
        <w:endnoteReference w:id="44"/>
      </w:r>
      <w:r w:rsidR="00E74EBC">
        <w:rPr>
          <w:vertAlign w:val="superscript"/>
        </w:rPr>
        <w:t>,</w:t>
      </w:r>
      <w:r w:rsidR="00E74EBC">
        <w:rPr>
          <w:rStyle w:val="EndnoteReference"/>
        </w:rPr>
        <w:endnoteReference w:id="45"/>
      </w:r>
      <w:r w:rsidR="009D57D8">
        <w:t xml:space="preserve"> The current monthly </w:t>
      </w:r>
      <w:r>
        <w:t>accounting</w:t>
      </w:r>
      <w:r w:rsidR="009D57D8">
        <w:t xml:space="preserve"> is disadvantageous for</w:t>
      </w:r>
      <w:r w:rsidR="00B71489">
        <w:t xml:space="preserve"> both administrators and clients</w:t>
      </w:r>
      <w:r w:rsidR="009D57D8">
        <w:t xml:space="preserve">. </w:t>
      </w:r>
      <w:r w:rsidR="00E36664">
        <w:t>I</w:t>
      </w:r>
      <w:r w:rsidR="009D57D8">
        <w:t xml:space="preserve">t increases the administrative burden on caseworkers and clients. </w:t>
      </w:r>
      <w:r w:rsidR="00B71489">
        <w:t>M</w:t>
      </w:r>
      <w:r w:rsidR="009D57D8">
        <w:t xml:space="preserve">ore importantly, it penalizes </w:t>
      </w:r>
      <w:r w:rsidR="003A1AF3">
        <w:t xml:space="preserve">two clients: </w:t>
      </w:r>
      <w:r w:rsidR="009D57D8">
        <w:t xml:space="preserve">people with episodic disabilities, who may work </w:t>
      </w:r>
      <w:r w:rsidR="003A1AF3">
        <w:t>inconsistently throughout the year</w:t>
      </w:r>
      <w:r w:rsidR="009D57D8">
        <w:t xml:space="preserve"> because of the </w:t>
      </w:r>
      <w:r>
        <w:t>unpredictability</w:t>
      </w:r>
      <w:r w:rsidR="009D57D8">
        <w:t xml:space="preserve"> of the impairments associated with their disability</w:t>
      </w:r>
      <w:r w:rsidR="003A1AF3">
        <w:t xml:space="preserve">, and clients with </w:t>
      </w:r>
      <w:r>
        <w:t>variable</w:t>
      </w:r>
      <w:r w:rsidR="003A1AF3">
        <w:t xml:space="preserve"> earnings due to precarious and contract work</w:t>
      </w:r>
      <w:r w:rsidR="003240F1">
        <w:t xml:space="preserve"> or fluctuating and seasonal income</w:t>
      </w:r>
      <w:r w:rsidR="003A1AF3">
        <w:t xml:space="preserve">. </w:t>
      </w:r>
      <w:r>
        <w:t>Both of these</w:t>
      </w:r>
      <w:r w:rsidR="003A1AF3">
        <w:t xml:space="preserve"> clients experience extensive clawbacks during the months when they have higher earnings, which should be shared during the months where they have </w:t>
      </w:r>
      <w:r>
        <w:t>no earnings</w:t>
      </w:r>
      <w:r w:rsidR="003A1AF3">
        <w:t xml:space="preserve"> through </w:t>
      </w:r>
      <w:r w:rsidR="009D1759">
        <w:t xml:space="preserve">an </w:t>
      </w:r>
      <w:r w:rsidR="003A1AF3">
        <w:t xml:space="preserve">annual instead of monthly reconciliation. </w:t>
      </w:r>
    </w:p>
    <w:p w14:paraId="4704C977" w14:textId="77777777" w:rsidR="0068202E" w:rsidRDefault="0068202E" w:rsidP="00DE6C12"/>
    <w:p w14:paraId="431EF894" w14:textId="77777777" w:rsidR="00792D85" w:rsidRDefault="00E3327C" w:rsidP="00DE6C12">
      <w:r>
        <w:t>Third, change</w:t>
      </w:r>
      <w:r w:rsidR="00646381">
        <w:t xml:space="preserve"> the definition of “spouse” in the </w:t>
      </w:r>
      <w:r w:rsidR="00646381">
        <w:rPr>
          <w:i/>
          <w:iCs/>
        </w:rPr>
        <w:t xml:space="preserve">Ontario Works </w:t>
      </w:r>
      <w:r w:rsidR="00646381" w:rsidRPr="00646381">
        <w:rPr>
          <w:i/>
          <w:iCs/>
        </w:rPr>
        <w:t>Act</w:t>
      </w:r>
      <w:r w:rsidR="00311588">
        <w:rPr>
          <w:i/>
          <w:iCs/>
        </w:rPr>
        <w:t>, 1997</w:t>
      </w:r>
      <w:r w:rsidR="00646381">
        <w:t xml:space="preserve"> and the </w:t>
      </w:r>
      <w:r w:rsidR="00646381">
        <w:rPr>
          <w:i/>
          <w:iCs/>
        </w:rPr>
        <w:t>Ontario Disability Support Program Act</w:t>
      </w:r>
      <w:r w:rsidR="00311588">
        <w:rPr>
          <w:i/>
          <w:iCs/>
        </w:rPr>
        <w:t>, 1997</w:t>
      </w:r>
      <w:r w:rsidR="00646381">
        <w:t xml:space="preserve">, </w:t>
      </w:r>
      <w:r w:rsidR="00646381" w:rsidRPr="00646381">
        <w:t>to</w:t>
      </w:r>
      <w:r w:rsidR="00646381">
        <w:t xml:space="preserve"> match the definition of “spouse” as it relates to support obligations in the </w:t>
      </w:r>
      <w:r w:rsidR="00646381">
        <w:rPr>
          <w:i/>
          <w:iCs/>
        </w:rPr>
        <w:t>Family Law Act</w:t>
      </w:r>
      <w:r w:rsidR="00646381">
        <w:t xml:space="preserve">. </w:t>
      </w:r>
      <w:r w:rsidR="00E00A05">
        <w:t>Currently, people on OW or ODSP must declare a spouse after they cohabitate for three months.</w:t>
      </w:r>
      <w:r w:rsidR="00E00A05">
        <w:rPr>
          <w:rStyle w:val="EndnoteReference"/>
        </w:rPr>
        <w:endnoteReference w:id="46"/>
      </w:r>
      <w:r w:rsidR="00A14B49">
        <w:rPr>
          <w:vertAlign w:val="superscript"/>
        </w:rPr>
        <w:t>,</w:t>
      </w:r>
      <w:r w:rsidR="00A14B49">
        <w:rPr>
          <w:rStyle w:val="EndnoteReference"/>
        </w:rPr>
        <w:endnoteReference w:id="47"/>
      </w:r>
      <w:r w:rsidR="00E00A05">
        <w:t xml:space="preserve"> </w:t>
      </w:r>
      <w:r w:rsidR="00A14B49">
        <w:t xml:space="preserve"> </w:t>
      </w:r>
      <w:r w:rsidR="00397518">
        <w:t>Cohabitation does not necessarily equate to a spousal relationship</w:t>
      </w:r>
      <w:r>
        <w:t xml:space="preserve">. </w:t>
      </w:r>
    </w:p>
    <w:p w14:paraId="3A0BE434" w14:textId="74B48B46" w:rsidR="00C02E0C" w:rsidRPr="00646381" w:rsidRDefault="00792D85" w:rsidP="00DE6C12">
      <w:r>
        <w:t xml:space="preserve">The three month timeline triggers an assessment and creates a situation where the Province </w:t>
      </w:r>
      <w:r w:rsidR="00A75A6E">
        <w:t>makes assumptions</w:t>
      </w:r>
      <w:r>
        <w:t xml:space="preserve"> about the nature of a relationship, which might include a roommate or a caregiver who is not in a spousal relationship. It is </w:t>
      </w:r>
      <w:r w:rsidR="007A404E">
        <w:t>intrusive</w:t>
      </w:r>
      <w:r>
        <w:t>, polices relationships</w:t>
      </w:r>
      <w:r w:rsidR="007A404E">
        <w:t xml:space="preserve">, </w:t>
      </w:r>
      <w:r>
        <w:t>and forces people</w:t>
      </w:r>
      <w:r w:rsidR="005F32D9">
        <w:t xml:space="preserve"> – </w:t>
      </w:r>
      <w:r>
        <w:t>usually women</w:t>
      </w:r>
      <w:r w:rsidR="005F32D9">
        <w:t xml:space="preserve"> – </w:t>
      </w:r>
      <w:r>
        <w:t xml:space="preserve">to include their partner as part of their </w:t>
      </w:r>
      <w:r w:rsidR="00D43951">
        <w:t xml:space="preserve">benefit unit prematurely, which results in clawback </w:t>
      </w:r>
      <w:r w:rsidR="005F32D9">
        <w:t xml:space="preserve">to </w:t>
      </w:r>
      <w:r w:rsidR="00D43951">
        <w:t>or loss of benefits</w:t>
      </w:r>
      <w:r w:rsidR="005F32D9">
        <w:t xml:space="preserve">, </w:t>
      </w:r>
      <w:r w:rsidR="00D43951">
        <w:t>and forc</w:t>
      </w:r>
      <w:r w:rsidR="007A404E">
        <w:t>es the client</w:t>
      </w:r>
      <w:r w:rsidR="00D43951">
        <w:t xml:space="preserve"> to become </w:t>
      </w:r>
      <w:r w:rsidR="007A404E">
        <w:t>dependent</w:t>
      </w:r>
      <w:r w:rsidR="00D43951">
        <w:t xml:space="preserve"> on the other person.</w:t>
      </w:r>
      <w:r w:rsidR="00A75A6E">
        <w:t xml:space="preserve"> The current definition may </w:t>
      </w:r>
      <w:r w:rsidR="005F32D9">
        <w:t xml:space="preserve">also </w:t>
      </w:r>
      <w:r w:rsidR="00397518">
        <w:t xml:space="preserve">prevent clients from entering into relationships </w:t>
      </w:r>
      <w:r w:rsidR="007A404E">
        <w:t>because of the</w:t>
      </w:r>
      <w:r w:rsidR="00397518">
        <w:t xml:space="preserve"> </w:t>
      </w:r>
      <w:r w:rsidR="007A404E">
        <w:t xml:space="preserve">potential </w:t>
      </w:r>
      <w:r w:rsidR="00397518">
        <w:t xml:space="preserve">financial burden </w:t>
      </w:r>
      <w:r w:rsidR="005F32D9">
        <w:t>for the</w:t>
      </w:r>
      <w:r w:rsidR="00397518">
        <w:t xml:space="preserve"> other </w:t>
      </w:r>
      <w:r w:rsidR="00A623F2">
        <w:t>person</w:t>
      </w:r>
      <w:r w:rsidR="00A75A6E">
        <w:t xml:space="preserve">. </w:t>
      </w:r>
      <w:r w:rsidR="00397518">
        <w:t>ISAC recommends that that the</w:t>
      </w:r>
      <w:r w:rsidR="00C13A5B">
        <w:t xml:space="preserve"> Province amend the definition of “spouse” in the</w:t>
      </w:r>
      <w:r w:rsidR="00397518">
        <w:t xml:space="preserve"> </w:t>
      </w:r>
      <w:r w:rsidR="00397518">
        <w:rPr>
          <w:i/>
          <w:iCs/>
        </w:rPr>
        <w:t>Ontario Works Act</w:t>
      </w:r>
      <w:r w:rsidR="00A75A6E">
        <w:rPr>
          <w:i/>
          <w:iCs/>
        </w:rPr>
        <w:t>, 1997</w:t>
      </w:r>
      <w:r w:rsidR="00397518">
        <w:rPr>
          <w:i/>
          <w:iCs/>
        </w:rPr>
        <w:t xml:space="preserve"> </w:t>
      </w:r>
      <w:r w:rsidR="00397518">
        <w:t xml:space="preserve">and the </w:t>
      </w:r>
      <w:r w:rsidR="00397518">
        <w:rPr>
          <w:i/>
          <w:iCs/>
        </w:rPr>
        <w:t>Ontario Disability Support Program Act</w:t>
      </w:r>
      <w:r w:rsidR="00A75A6E">
        <w:rPr>
          <w:i/>
          <w:iCs/>
        </w:rPr>
        <w:t>, 1997</w:t>
      </w:r>
      <w:r w:rsidR="00397518">
        <w:t xml:space="preserve"> to match the more reasonable timeframe of three years found in the </w:t>
      </w:r>
      <w:r w:rsidR="00397518" w:rsidRPr="00397518">
        <w:rPr>
          <w:i/>
          <w:iCs/>
        </w:rPr>
        <w:t>Family Law Act</w:t>
      </w:r>
      <w:r w:rsidR="00397518">
        <w:rPr>
          <w:i/>
          <w:iCs/>
        </w:rPr>
        <w:t>.</w:t>
      </w:r>
      <w:r w:rsidR="00397518">
        <w:rPr>
          <w:rStyle w:val="EndnoteReference"/>
          <w:i/>
          <w:iCs/>
        </w:rPr>
        <w:endnoteReference w:id="48"/>
      </w:r>
    </w:p>
    <w:p w14:paraId="7AAA5700" w14:textId="73D889BE" w:rsidR="00AD7913" w:rsidRDefault="00AD7913" w:rsidP="00DE6C12">
      <w:pPr>
        <w:rPr>
          <w:highlight w:val="yellow"/>
        </w:rPr>
      </w:pPr>
    </w:p>
    <w:p w14:paraId="552929D8" w14:textId="10AD489E" w:rsidR="00AD7913" w:rsidRDefault="00AD7913" w:rsidP="00DE6C12">
      <w:pPr>
        <w:rPr>
          <w:u w:val="single"/>
        </w:rPr>
      </w:pPr>
      <w:r w:rsidRPr="00AD7913">
        <w:rPr>
          <w:u w:val="single"/>
        </w:rPr>
        <w:t>Increase asset limits</w:t>
      </w:r>
    </w:p>
    <w:p w14:paraId="62C78EF1" w14:textId="77777777" w:rsidR="00AD7913" w:rsidRPr="00AD7913" w:rsidRDefault="00AD7913" w:rsidP="00DE6C12">
      <w:pPr>
        <w:rPr>
          <w:u w:val="single"/>
        </w:rPr>
      </w:pPr>
    </w:p>
    <w:p w14:paraId="5B7AC0ED" w14:textId="77B6D3F6" w:rsidR="00E50E1E" w:rsidRPr="00867244" w:rsidRDefault="00EC1E8F" w:rsidP="00DF4101">
      <w:pPr>
        <w:tabs>
          <w:tab w:val="left" w:pos="-567"/>
        </w:tabs>
      </w:pPr>
      <w:r w:rsidRPr="00867244">
        <w:t>To</w:t>
      </w:r>
      <w:r w:rsidR="00653803" w:rsidRPr="00867244">
        <w:t xml:space="preserve"> </w:t>
      </w:r>
      <w:r w:rsidRPr="00867244">
        <w:t xml:space="preserve">help alleviate poverty among social assistance </w:t>
      </w:r>
      <w:r w:rsidR="001662AD" w:rsidRPr="00867244">
        <w:t xml:space="preserve">clients </w:t>
      </w:r>
      <w:r w:rsidRPr="00867244">
        <w:t>in the present and in future, t</w:t>
      </w:r>
      <w:r w:rsidR="00F92A2B" w:rsidRPr="00867244">
        <w:t xml:space="preserve">he </w:t>
      </w:r>
      <w:r w:rsidR="00E50E1E" w:rsidRPr="00867244">
        <w:t xml:space="preserve">Province </w:t>
      </w:r>
      <w:r w:rsidR="00F92A2B" w:rsidRPr="00867244">
        <w:t xml:space="preserve">should </w:t>
      </w:r>
      <w:r w:rsidR="00E50E1E" w:rsidRPr="00867244">
        <w:t xml:space="preserve">follow the lead of provinces such as Alberta and British </w:t>
      </w:r>
      <w:r w:rsidR="00461EC0" w:rsidRPr="00867244">
        <w:t>Columbia and</w:t>
      </w:r>
      <w:r w:rsidR="00E50E1E" w:rsidRPr="00867244">
        <w:t xml:space="preserve"> increase asset limits. Both Alberta and British Columbia have </w:t>
      </w:r>
      <w:r w:rsidR="00762623" w:rsidRPr="00867244">
        <w:t>l</w:t>
      </w:r>
      <w:r w:rsidR="00E50E1E" w:rsidRPr="00867244">
        <w:t>iqui</w:t>
      </w:r>
      <w:r w:rsidR="001760BF" w:rsidRPr="00867244">
        <w:t>d</w:t>
      </w:r>
      <w:r w:rsidR="00E50E1E" w:rsidRPr="00867244">
        <w:t xml:space="preserve"> asset exemption levels of $100,00</w:t>
      </w:r>
      <w:r w:rsidR="001760BF" w:rsidRPr="00867244">
        <w:t>0 for people with disabilities.</w:t>
      </w:r>
      <w:r w:rsidR="00CB13E3" w:rsidRPr="00867244">
        <w:rPr>
          <w:rStyle w:val="EndnoteReference"/>
        </w:rPr>
        <w:t xml:space="preserve"> </w:t>
      </w:r>
      <w:r w:rsidR="00CB13E3" w:rsidRPr="00867244">
        <w:rPr>
          <w:rStyle w:val="EndnoteReference"/>
        </w:rPr>
        <w:endnoteReference w:id="49"/>
      </w:r>
      <w:r w:rsidR="00762623" w:rsidRPr="00867244">
        <w:t xml:space="preserve"> This is an easy and low-cost way to </w:t>
      </w:r>
      <w:r w:rsidR="00DB531B" w:rsidRPr="00867244">
        <w:t xml:space="preserve">alleviate </w:t>
      </w:r>
      <w:r w:rsidR="00762623" w:rsidRPr="00867244">
        <w:t xml:space="preserve">further poverty for </w:t>
      </w:r>
      <w:r w:rsidR="00867244" w:rsidRPr="00867244">
        <w:t xml:space="preserve">ODSP </w:t>
      </w:r>
      <w:r w:rsidR="001662AD" w:rsidRPr="00867244">
        <w:t>clients</w:t>
      </w:r>
      <w:r w:rsidR="00762623" w:rsidRPr="00867244">
        <w:t xml:space="preserve">. </w:t>
      </w:r>
      <w:r w:rsidR="00304E9F" w:rsidRPr="00867244">
        <w:t xml:space="preserve">Similarly, raising the asset limit to $20,000 for </w:t>
      </w:r>
      <w:r w:rsidR="00867244" w:rsidRPr="00867244">
        <w:t>OW</w:t>
      </w:r>
      <w:r w:rsidR="00304E9F" w:rsidRPr="00867244">
        <w:t xml:space="preserve"> </w:t>
      </w:r>
      <w:r w:rsidR="001662AD" w:rsidRPr="00867244">
        <w:t xml:space="preserve">clients </w:t>
      </w:r>
      <w:r w:rsidR="00304E9F" w:rsidRPr="00867244">
        <w:t xml:space="preserve">will allow those who have experienced job losses or other difficult circumstances </w:t>
      </w:r>
      <w:r w:rsidR="002C7078" w:rsidRPr="00867244">
        <w:t xml:space="preserve">during this </w:t>
      </w:r>
      <w:r w:rsidR="00F92A2B" w:rsidRPr="00867244">
        <w:t>pandemic</w:t>
      </w:r>
      <w:r w:rsidR="002C7078" w:rsidRPr="00867244">
        <w:t xml:space="preserve"> </w:t>
      </w:r>
      <w:r w:rsidR="00DB531B" w:rsidRPr="00867244">
        <w:t xml:space="preserve">to </w:t>
      </w:r>
      <w:r w:rsidR="00304E9F" w:rsidRPr="00867244">
        <w:t xml:space="preserve">avoid liquidation to the point of </w:t>
      </w:r>
      <w:r w:rsidR="002F0F76">
        <w:t>destitution</w:t>
      </w:r>
      <w:r w:rsidR="00304E9F" w:rsidRPr="00867244">
        <w:t xml:space="preserve"> before receiving assistance. Finally,</w:t>
      </w:r>
      <w:r w:rsidR="00867244" w:rsidRPr="00867244">
        <w:t xml:space="preserve"> with inflation,</w:t>
      </w:r>
      <w:r w:rsidR="00304E9F" w:rsidRPr="00867244">
        <w:t xml:space="preserve"> t</w:t>
      </w:r>
      <w:r w:rsidR="007343BC" w:rsidRPr="00867244">
        <w:t xml:space="preserve">he need is greater now more than ever for external financial assistance </w:t>
      </w:r>
      <w:r w:rsidR="00304E9F" w:rsidRPr="00867244">
        <w:t xml:space="preserve"> E</w:t>
      </w:r>
      <w:r w:rsidR="007343BC" w:rsidRPr="00867244">
        <w:t>liminating the $10,000 limit on voluntary gifts and payments</w:t>
      </w:r>
      <w:r w:rsidR="007529F9" w:rsidRPr="00867244">
        <w:t xml:space="preserve"> – such as</w:t>
      </w:r>
      <w:r w:rsidR="00C447A4" w:rsidRPr="00867244">
        <w:t xml:space="preserve"> occasional</w:t>
      </w:r>
      <w:r w:rsidR="007529F9" w:rsidRPr="00867244">
        <w:t xml:space="preserve"> </w:t>
      </w:r>
      <w:r w:rsidR="00C048EC" w:rsidRPr="00867244">
        <w:t>money</w:t>
      </w:r>
      <w:r w:rsidR="00942327" w:rsidRPr="00867244">
        <w:t xml:space="preserve"> from family for </w:t>
      </w:r>
      <w:r w:rsidR="00461EC0" w:rsidRPr="00867244">
        <w:t>groceries –</w:t>
      </w:r>
      <w:r w:rsidR="00304E9F" w:rsidRPr="00867244">
        <w:t xml:space="preserve"> for both </w:t>
      </w:r>
      <w:r w:rsidR="00867244" w:rsidRPr="00867244">
        <w:t>OW and ODSP</w:t>
      </w:r>
      <w:r w:rsidR="00FF5437" w:rsidRPr="00867244">
        <w:t xml:space="preserve"> </w:t>
      </w:r>
      <w:r w:rsidR="001662AD" w:rsidRPr="00867244">
        <w:t>clients</w:t>
      </w:r>
      <w:r w:rsidR="00DE0034" w:rsidRPr="00867244">
        <w:t>,</w:t>
      </w:r>
      <w:r w:rsidR="00304E9F" w:rsidRPr="00867244">
        <w:t xml:space="preserve"> will assist greatly. </w:t>
      </w:r>
    </w:p>
    <w:p w14:paraId="702D3F34" w14:textId="36E7BE10" w:rsidR="009B4B26" w:rsidRDefault="009B4B26" w:rsidP="009B4B26">
      <w:pPr>
        <w:tabs>
          <w:tab w:val="left" w:pos="-567"/>
        </w:tabs>
        <w:rPr>
          <w:bCs/>
          <w:highlight w:val="yellow"/>
          <w:shd w:val="clear" w:color="auto" w:fill="FFFFFF"/>
        </w:rPr>
      </w:pPr>
    </w:p>
    <w:p w14:paraId="1C6F0B09" w14:textId="11778D04" w:rsidR="00197CE6" w:rsidRPr="007C495D" w:rsidRDefault="00197CE6" w:rsidP="00311588">
      <w:pPr>
        <w:ind w:left="720"/>
        <w:contextualSpacing/>
        <w:rPr>
          <w:bCs/>
          <w:shd w:val="clear" w:color="auto" w:fill="FFFFFF"/>
        </w:rPr>
      </w:pPr>
      <w:r w:rsidRPr="007C495D">
        <w:rPr>
          <w:b/>
        </w:rPr>
        <w:t>Recommendation #</w:t>
      </w:r>
      <w:r w:rsidR="005F32D9">
        <w:rPr>
          <w:b/>
        </w:rPr>
        <w:t>2</w:t>
      </w:r>
      <w:r w:rsidRPr="007C495D">
        <w:rPr>
          <w:b/>
        </w:rPr>
        <w:t>:</w:t>
      </w:r>
      <w:r w:rsidRPr="007C495D">
        <w:t xml:space="preserve"> </w:t>
      </w:r>
      <w:r w:rsidRPr="007C495D">
        <w:rPr>
          <w:bCs/>
          <w:shd w:val="clear" w:color="auto" w:fill="FFFFFF"/>
        </w:rPr>
        <w:t>Allow social assistance clients to keep more money in their pockets</w:t>
      </w:r>
    </w:p>
    <w:p w14:paraId="6B07187B" w14:textId="77777777" w:rsidR="00197CE6" w:rsidRPr="007C495D" w:rsidRDefault="00197CE6" w:rsidP="00197CE6">
      <w:pPr>
        <w:tabs>
          <w:tab w:val="left" w:pos="-567"/>
        </w:tabs>
        <w:rPr>
          <w:bCs/>
          <w:shd w:val="clear" w:color="auto" w:fill="FFFFFF"/>
        </w:rPr>
      </w:pPr>
    </w:p>
    <w:p w14:paraId="0A431A14" w14:textId="6F85BE3B" w:rsidR="00197CE6" w:rsidRPr="00C85E1A" w:rsidRDefault="00197CE6" w:rsidP="00C85E1A">
      <w:pPr>
        <w:pStyle w:val="ListParagraph"/>
        <w:numPr>
          <w:ilvl w:val="0"/>
          <w:numId w:val="19"/>
        </w:numPr>
        <w:rPr>
          <w:bCs/>
          <w:shd w:val="clear" w:color="auto" w:fill="FFFFFF"/>
        </w:rPr>
      </w:pPr>
      <w:r w:rsidRPr="007C495D">
        <w:t xml:space="preserve">Forgive all overpayments for social assistance clients who have accessed temporary federal pandemic-related benefits. </w:t>
      </w:r>
    </w:p>
    <w:p w14:paraId="137C59B7" w14:textId="77777777" w:rsidR="005F32D9" w:rsidRPr="006A1F9C" w:rsidRDefault="005F32D9" w:rsidP="005F32D9">
      <w:pPr>
        <w:pStyle w:val="ListParagraph"/>
        <w:numPr>
          <w:ilvl w:val="0"/>
          <w:numId w:val="19"/>
        </w:numPr>
        <w:rPr>
          <w:i/>
          <w:iCs/>
          <w:color w:val="000000" w:themeColor="text1"/>
        </w:rPr>
      </w:pPr>
      <w:r w:rsidRPr="007C495D">
        <w:rPr>
          <w:bCs/>
          <w:shd w:val="clear" w:color="auto" w:fill="FFFFFF"/>
        </w:rPr>
        <w:t xml:space="preserve">Implement </w:t>
      </w:r>
      <w:r>
        <w:rPr>
          <w:bCs/>
          <w:shd w:val="clear" w:color="auto" w:fill="FFFFFF"/>
        </w:rPr>
        <w:t xml:space="preserve">three regulatory changes: </w:t>
      </w:r>
      <w:r w:rsidRPr="007C495D">
        <w:rPr>
          <w:bCs/>
          <w:shd w:val="clear" w:color="auto" w:fill="FFFFFF"/>
        </w:rPr>
        <w:t>a flat-rate structure</w:t>
      </w:r>
      <w:r>
        <w:rPr>
          <w:bCs/>
          <w:shd w:val="clear" w:color="auto" w:fill="FFFFFF"/>
        </w:rPr>
        <w:t xml:space="preserve">, the option of </w:t>
      </w:r>
      <w:r w:rsidRPr="007C495D">
        <w:rPr>
          <w:bCs/>
          <w:shd w:val="clear" w:color="auto" w:fill="FFFFFF"/>
        </w:rPr>
        <w:t>annual reconciliation of income earnings</w:t>
      </w:r>
      <w:r>
        <w:rPr>
          <w:bCs/>
          <w:shd w:val="clear" w:color="auto" w:fill="FFFFFF"/>
        </w:rPr>
        <w:t xml:space="preserve">, and </w:t>
      </w:r>
      <w:r w:rsidRPr="006A1F9C">
        <w:rPr>
          <w:color w:val="000000" w:themeColor="text1"/>
        </w:rPr>
        <w:t xml:space="preserve">align the definition of spouse under social assistance with the </w:t>
      </w:r>
      <w:r w:rsidRPr="006A1F9C">
        <w:rPr>
          <w:i/>
          <w:iCs/>
          <w:color w:val="000000" w:themeColor="text1"/>
        </w:rPr>
        <w:t>Family Law Act</w:t>
      </w:r>
      <w:r w:rsidRPr="006A1F9C">
        <w:rPr>
          <w:color w:val="000000" w:themeColor="text1"/>
        </w:rPr>
        <w:t>.</w:t>
      </w:r>
    </w:p>
    <w:p w14:paraId="4E41F1A9" w14:textId="77777777" w:rsidR="005F32D9" w:rsidRPr="007C495D" w:rsidRDefault="005F32D9" w:rsidP="005F32D9">
      <w:pPr>
        <w:pStyle w:val="ListParagraph"/>
        <w:numPr>
          <w:ilvl w:val="0"/>
          <w:numId w:val="19"/>
        </w:numPr>
        <w:rPr>
          <w:bCs/>
          <w:shd w:val="clear" w:color="auto" w:fill="FFFFFF"/>
        </w:rPr>
      </w:pPr>
      <w:r w:rsidRPr="007C495D">
        <w:t xml:space="preserve">Eliminate the $10,000 limit on voluntary gifts and payments and raise the limit on cash and other liquid assets to $20,000 for Ontario Works clients. For Ontario Disability </w:t>
      </w:r>
      <w:r w:rsidRPr="007C495D">
        <w:lastRenderedPageBreak/>
        <w:t>Support Program clients, eliminate the $10,000 limit on voluntary gifts and payments and raise the asset limit to $100,000.</w:t>
      </w:r>
    </w:p>
    <w:p w14:paraId="18B9F0F3" w14:textId="77777777" w:rsidR="00B8488D" w:rsidRPr="00E55DAB" w:rsidRDefault="00B8488D" w:rsidP="00B8488D">
      <w:pPr>
        <w:pStyle w:val="ListParagraph"/>
        <w:ind w:left="1080"/>
        <w:rPr>
          <w:bCs/>
          <w:shd w:val="clear" w:color="auto" w:fill="FFFFFF"/>
        </w:rPr>
      </w:pPr>
    </w:p>
    <w:p w14:paraId="065024FC" w14:textId="77777777" w:rsidR="00E116D5" w:rsidRPr="002B1715" w:rsidRDefault="00E116D5" w:rsidP="00E116D5">
      <w:pPr>
        <w:pStyle w:val="ListParagraph"/>
        <w:ind w:left="1080"/>
        <w:rPr>
          <w:bCs/>
          <w:highlight w:val="yellow"/>
          <w:shd w:val="clear" w:color="auto" w:fill="FFFFFF"/>
        </w:rPr>
      </w:pPr>
    </w:p>
    <w:p w14:paraId="24C14DFA" w14:textId="5BC4544F" w:rsidR="00756765" w:rsidRPr="00A623F2" w:rsidRDefault="00756765" w:rsidP="00756765">
      <w:pPr>
        <w:pStyle w:val="Heading1"/>
        <w:spacing w:after="0" w:line="240" w:lineRule="auto"/>
        <w:rPr>
          <w:rFonts w:cs="Times New Roman"/>
        </w:rPr>
      </w:pPr>
      <w:r w:rsidRPr="00A623F2">
        <w:rPr>
          <w:rFonts w:cs="Times New Roman"/>
        </w:rPr>
        <w:t>Ensure that moderniz</w:t>
      </w:r>
      <w:r w:rsidR="00FA4B1F" w:rsidRPr="00A623F2">
        <w:rPr>
          <w:rFonts w:cs="Times New Roman"/>
        </w:rPr>
        <w:t xml:space="preserve">ation </w:t>
      </w:r>
      <w:r w:rsidR="001A127C" w:rsidRPr="00A623F2">
        <w:rPr>
          <w:rFonts w:cs="Times New Roman"/>
        </w:rPr>
        <w:t>serves</w:t>
      </w:r>
      <w:r w:rsidR="001662AD" w:rsidRPr="00A623F2">
        <w:rPr>
          <w:rFonts w:cs="Times New Roman"/>
        </w:rPr>
        <w:t xml:space="preserve"> and </w:t>
      </w:r>
      <w:r w:rsidR="00E81058" w:rsidRPr="00A623F2">
        <w:rPr>
          <w:rFonts w:cs="Times New Roman"/>
        </w:rPr>
        <w:t>supports</w:t>
      </w:r>
      <w:r w:rsidRPr="00A623F2">
        <w:rPr>
          <w:rFonts w:cs="Times New Roman"/>
        </w:rPr>
        <w:t xml:space="preserve"> social assistance </w:t>
      </w:r>
      <w:r w:rsidR="001662AD" w:rsidRPr="00A623F2">
        <w:rPr>
          <w:rFonts w:cs="Times New Roman"/>
        </w:rPr>
        <w:t>clients</w:t>
      </w:r>
      <w:r w:rsidR="00FA4B1F" w:rsidRPr="00A623F2">
        <w:rPr>
          <w:rFonts w:cs="Times New Roman"/>
        </w:rPr>
        <w:t xml:space="preserve">. </w:t>
      </w:r>
    </w:p>
    <w:p w14:paraId="0A996347" w14:textId="77777777" w:rsidR="00E55DAB" w:rsidRPr="00A623F2" w:rsidRDefault="00E55DAB" w:rsidP="00756765"/>
    <w:p w14:paraId="55BF884C" w14:textId="73187BDC" w:rsidR="00E55DAB" w:rsidRPr="00A623F2" w:rsidRDefault="00B8488D" w:rsidP="00756765">
      <w:r w:rsidRPr="00A623F2">
        <w:t xml:space="preserve">The </w:t>
      </w:r>
      <w:r w:rsidR="007C5423" w:rsidRPr="00A623F2">
        <w:t xml:space="preserve">Province’s </w:t>
      </w:r>
      <w:r w:rsidRPr="00A623F2">
        <w:t xml:space="preserve">ongoing </w:t>
      </w:r>
      <w:r w:rsidR="007C5423" w:rsidRPr="00A623F2">
        <w:t>social assistance modernization plan</w:t>
      </w:r>
      <w:r w:rsidR="00CB13E3" w:rsidRPr="00A623F2">
        <w:rPr>
          <w:rStyle w:val="EndnoteReference"/>
        </w:rPr>
        <w:endnoteReference w:id="50"/>
      </w:r>
      <w:r w:rsidR="00CD5FB1" w:rsidRPr="00A623F2">
        <w:t xml:space="preserve"> </w:t>
      </w:r>
      <w:r w:rsidR="00E55DAB" w:rsidRPr="00A623F2">
        <w:t>include</w:t>
      </w:r>
      <w:r w:rsidR="00A315AB">
        <w:t>s</w:t>
      </w:r>
      <w:r w:rsidR="00E55DAB" w:rsidRPr="00A623F2">
        <w:t xml:space="preserve"> </w:t>
      </w:r>
      <w:r w:rsidR="00756765" w:rsidRPr="00A623F2">
        <w:t>increased digitization</w:t>
      </w:r>
      <w:r w:rsidR="00C2251B" w:rsidRPr="00A623F2">
        <w:t>, automation, and centralization</w:t>
      </w:r>
      <w:r w:rsidR="00E55DAB" w:rsidRPr="00A623F2">
        <w:t xml:space="preserve">, </w:t>
      </w:r>
      <w:r w:rsidRPr="00A623F2">
        <w:t xml:space="preserve">as well as </w:t>
      </w:r>
      <w:r w:rsidR="00A315AB">
        <w:t>changes to employment services</w:t>
      </w:r>
      <w:r w:rsidRPr="00A623F2">
        <w:t xml:space="preserve">. One of the core changes involves reducing the administrative burden on municipalities to allow caseworkers to better support clients. </w:t>
      </w:r>
      <w:r w:rsidR="00F83263">
        <w:t>50</w:t>
      </w:r>
      <w:r w:rsidRPr="00A623F2">
        <w:t>% of OW clients have been on social assistance for over two years, with 42% of OW clients on social assistance between two and ten years.</w:t>
      </w:r>
      <w:r w:rsidRPr="00A623F2">
        <w:rPr>
          <w:rStyle w:val="EndnoteReference"/>
        </w:rPr>
        <w:endnoteReference w:id="51"/>
      </w:r>
      <w:r w:rsidRPr="00A623F2">
        <w:t xml:space="preserve"> The longer clients </w:t>
      </w:r>
      <w:r w:rsidR="003C19EC" w:rsidRPr="00A623F2">
        <w:t>are on social assistance the more likely</w:t>
      </w:r>
      <w:r w:rsidR="00A315AB">
        <w:t xml:space="preserve"> that</w:t>
      </w:r>
      <w:r w:rsidR="003C19EC" w:rsidRPr="00A623F2">
        <w:t xml:space="preserve"> they </w:t>
      </w:r>
      <w:r w:rsidR="00FB0EF7" w:rsidRPr="00A623F2">
        <w:t>need</w:t>
      </w:r>
      <w:r w:rsidR="003C19EC" w:rsidRPr="00A623F2">
        <w:t xml:space="preserve"> wraparound services to become job ready.</w:t>
      </w:r>
    </w:p>
    <w:p w14:paraId="3F98B4E1" w14:textId="73E1E11C" w:rsidR="00E55DAB" w:rsidRPr="00A623F2" w:rsidRDefault="00E55DAB" w:rsidP="00756765"/>
    <w:p w14:paraId="7B649D95" w14:textId="28D0F374" w:rsidR="004F5DBE" w:rsidRPr="00A623F2" w:rsidRDefault="00A315AB" w:rsidP="00756765">
      <w:r>
        <w:t>The P</w:t>
      </w:r>
      <w:r w:rsidR="00404FAE" w:rsidRPr="00A623F2">
        <w:t xml:space="preserve">rovince </w:t>
      </w:r>
      <w:r>
        <w:t>must</w:t>
      </w:r>
      <w:r w:rsidR="00404FAE" w:rsidRPr="00A623F2">
        <w:t xml:space="preserve"> recognize that life stabilization services including </w:t>
      </w:r>
      <w:r w:rsidR="00FB0484" w:rsidRPr="00A623F2">
        <w:rPr>
          <w:color w:val="000000"/>
        </w:rPr>
        <w:t>childcare, disability, housing, literacy, mental health and addiction, settlement, translation, and transportation supports</w:t>
      </w:r>
      <w:r w:rsidR="00FB0484" w:rsidRPr="00A623F2">
        <w:t xml:space="preserve"> </w:t>
      </w:r>
      <w:r w:rsidR="00404FAE" w:rsidRPr="00A623F2">
        <w:t>are chronically underfunded and overwhelmed</w:t>
      </w:r>
      <w:r>
        <w:t>, and immediately move towards properly resourcing these supports</w:t>
      </w:r>
      <w:r w:rsidR="00404FAE" w:rsidRPr="00A623F2">
        <w:t>. Referrals to wait-lists cannot be considered life stabilizing</w:t>
      </w:r>
      <w:r w:rsidR="00CC06D6" w:rsidRPr="00A623F2">
        <w:t>. T</w:t>
      </w:r>
      <w:r w:rsidR="00404FAE" w:rsidRPr="00A623F2">
        <w:t xml:space="preserve">he modernization process will </w:t>
      </w:r>
      <w:r w:rsidR="00E8303B" w:rsidRPr="00A623F2">
        <w:t>fail</w:t>
      </w:r>
      <w:r w:rsidR="00404FAE" w:rsidRPr="00A623F2">
        <w:t xml:space="preserve"> if these supports are not </w:t>
      </w:r>
      <w:r w:rsidR="00E25D9B" w:rsidRPr="00A623F2">
        <w:t xml:space="preserve">well-funded. </w:t>
      </w:r>
      <w:r w:rsidR="00525ACA" w:rsidRPr="00A623F2">
        <w:t xml:space="preserve">We </w:t>
      </w:r>
      <w:r w:rsidR="00E25D9B" w:rsidRPr="00A623F2">
        <w:t xml:space="preserve">also </w:t>
      </w:r>
      <w:r w:rsidR="00525ACA" w:rsidRPr="00A623F2">
        <w:t xml:space="preserve">urge the </w:t>
      </w:r>
      <w:r w:rsidR="00C266CC" w:rsidRPr="00A623F2">
        <w:t>P</w:t>
      </w:r>
      <w:r w:rsidR="00525ACA" w:rsidRPr="00A623F2">
        <w:t xml:space="preserve">rovince to ensure its modernization process </w:t>
      </w:r>
      <w:r w:rsidR="00FB0484" w:rsidRPr="00A623F2">
        <w:t>is</w:t>
      </w:r>
      <w:r w:rsidR="00525ACA" w:rsidRPr="00A623F2">
        <w:t xml:space="preserve"> inclusive, supportive</w:t>
      </w:r>
      <w:r w:rsidR="007C5423" w:rsidRPr="00A623F2">
        <w:t>,</w:t>
      </w:r>
      <w:r w:rsidR="00525ACA" w:rsidRPr="00A623F2">
        <w:t xml:space="preserve"> and </w:t>
      </w:r>
      <w:r w:rsidR="007C5423" w:rsidRPr="00A623F2">
        <w:t>include</w:t>
      </w:r>
      <w:r w:rsidR="00FB0484" w:rsidRPr="00A623F2">
        <w:t>s</w:t>
      </w:r>
      <w:r w:rsidR="007C5423" w:rsidRPr="00A623F2">
        <w:t xml:space="preserve"> </w:t>
      </w:r>
      <w:r w:rsidR="0079338E" w:rsidRPr="00A623F2">
        <w:t>a</w:t>
      </w:r>
      <w:r w:rsidR="00362742" w:rsidRPr="00A623F2">
        <w:t xml:space="preserve"> full </w:t>
      </w:r>
      <w:r w:rsidR="00D80A13" w:rsidRPr="00A623F2">
        <w:t>consultation process with the social assistance clients it affects</w:t>
      </w:r>
      <w:r w:rsidR="000F008C">
        <w:t xml:space="preserve"> who </w:t>
      </w:r>
      <w:r w:rsidR="00C13A5B">
        <w:t>are best informed about</w:t>
      </w:r>
      <w:r w:rsidR="000F008C">
        <w:t xml:space="preserve"> the services they require</w:t>
      </w:r>
      <w:r w:rsidR="00D80A13" w:rsidRPr="00A623F2">
        <w:t xml:space="preserve">. </w:t>
      </w:r>
    </w:p>
    <w:p w14:paraId="0FD1BFF1" w14:textId="20425A0F" w:rsidR="00141465" w:rsidRPr="002B1715" w:rsidRDefault="00141465" w:rsidP="00756765">
      <w:pPr>
        <w:rPr>
          <w:highlight w:val="yellow"/>
        </w:rPr>
      </w:pPr>
    </w:p>
    <w:p w14:paraId="7D6A6D24" w14:textId="5180B874" w:rsidR="00D74C2A" w:rsidRPr="008304DE" w:rsidRDefault="007309C5" w:rsidP="007309C5">
      <w:r w:rsidRPr="008304DE">
        <w:rPr>
          <w:b/>
        </w:rPr>
        <w:t>Employment Ontario</w:t>
      </w:r>
      <w:r w:rsidR="00D21BCB" w:rsidRPr="008304DE">
        <w:rPr>
          <w:b/>
        </w:rPr>
        <w:t xml:space="preserve"> transformation may not be in</w:t>
      </w:r>
      <w:r w:rsidR="00222D5A">
        <w:rPr>
          <w:b/>
        </w:rPr>
        <w:t xml:space="preserve"> social assistance</w:t>
      </w:r>
      <w:r w:rsidR="00D21BCB" w:rsidRPr="008304DE">
        <w:rPr>
          <w:b/>
        </w:rPr>
        <w:t xml:space="preserve"> clients’ best interests.</w:t>
      </w:r>
      <w:r w:rsidRPr="008304DE">
        <w:t xml:space="preserve"> As part of the </w:t>
      </w:r>
      <w:r w:rsidR="008C60A3" w:rsidRPr="008304DE">
        <w:t>P</w:t>
      </w:r>
      <w:r w:rsidRPr="008304DE">
        <w:t xml:space="preserve">rovince’s modernization of social assistance, Ontario is moving forward with a plan to integrate employment services for social assistance </w:t>
      </w:r>
      <w:r w:rsidR="001662AD" w:rsidRPr="008304DE">
        <w:t xml:space="preserve">clients </w:t>
      </w:r>
      <w:r w:rsidRPr="008304DE">
        <w:t>with services available to the general public through Employment Ontario</w:t>
      </w:r>
      <w:r w:rsidR="00DA797F" w:rsidRPr="008304DE">
        <w:t>. Th</w:t>
      </w:r>
      <w:r w:rsidR="008304DE" w:rsidRPr="008304DE">
        <w:t>e Employment Services Transformation (EST) is moving</w:t>
      </w:r>
      <w:r w:rsidR="00D74C2A" w:rsidRPr="008304DE">
        <w:t xml:space="preserve"> employment services</w:t>
      </w:r>
      <w:r w:rsidR="00DA797F" w:rsidRPr="008304DE">
        <w:t xml:space="preserve"> for social assistance clients</w:t>
      </w:r>
      <w:r w:rsidR="00D74C2A" w:rsidRPr="008304DE">
        <w:t xml:space="preserve"> from the Ministry of Children, Community and Social </w:t>
      </w:r>
      <w:r w:rsidR="006C0D22" w:rsidRPr="008304DE">
        <w:t>Services</w:t>
      </w:r>
      <w:r w:rsidR="00D74C2A" w:rsidRPr="008304DE">
        <w:t xml:space="preserve"> (MCCSS) to the Ministry of Labour, </w:t>
      </w:r>
      <w:r w:rsidR="002B1319" w:rsidRPr="008304DE">
        <w:t>Immigration</w:t>
      </w:r>
      <w:r w:rsidR="00C13A5B">
        <w:t xml:space="preserve">, </w:t>
      </w:r>
      <w:r w:rsidR="00D74C2A" w:rsidRPr="008304DE">
        <w:t>Training and Skills Development (ML</w:t>
      </w:r>
      <w:r w:rsidR="002B1319" w:rsidRPr="008304DE">
        <w:t>I</w:t>
      </w:r>
      <w:r w:rsidR="00D74C2A" w:rsidRPr="008304DE">
        <w:t>TSD)</w:t>
      </w:r>
      <w:r w:rsidR="008304DE" w:rsidRPr="008304DE">
        <w:t xml:space="preserve">. It </w:t>
      </w:r>
      <w:r w:rsidR="00DA797F" w:rsidRPr="008304DE">
        <w:t xml:space="preserve">includes funding for third-party and sometimes </w:t>
      </w:r>
      <w:r w:rsidR="001838C7" w:rsidRPr="008304DE">
        <w:t xml:space="preserve">international </w:t>
      </w:r>
      <w:r w:rsidR="00DA797F" w:rsidRPr="008304DE">
        <w:t>and private Social Service Managers (SSM)</w:t>
      </w:r>
      <w:r w:rsidR="005169CA" w:rsidRPr="008304DE">
        <w:t xml:space="preserve"> to oversee </w:t>
      </w:r>
      <w:r w:rsidR="00362742" w:rsidRPr="008304DE">
        <w:t xml:space="preserve">local </w:t>
      </w:r>
      <w:r w:rsidR="005169CA" w:rsidRPr="008304DE">
        <w:t>service delivery organizations.</w:t>
      </w:r>
      <w:r w:rsidRPr="008304DE">
        <w:t xml:space="preserve"> </w:t>
      </w:r>
      <w:r w:rsidR="00DA797F" w:rsidRPr="008304DE">
        <w:t>Even though there has been no “large-scale data collection and analysis”</w:t>
      </w:r>
      <w:r w:rsidR="00CB13E3" w:rsidRPr="008304DE">
        <w:rPr>
          <w:rStyle w:val="EndnoteReference"/>
        </w:rPr>
        <w:t xml:space="preserve"> </w:t>
      </w:r>
      <w:r w:rsidR="00CB13E3" w:rsidRPr="008304DE">
        <w:rPr>
          <w:rStyle w:val="EndnoteReference"/>
        </w:rPr>
        <w:endnoteReference w:id="52"/>
      </w:r>
      <w:r w:rsidR="00DA797F" w:rsidRPr="008304DE">
        <w:t xml:space="preserve"> from the first three prototype regions,</w:t>
      </w:r>
      <w:r w:rsidR="002B1319" w:rsidRPr="008304DE">
        <w:t xml:space="preserve"> and </w:t>
      </w:r>
      <w:r w:rsidR="008304DE" w:rsidRPr="008304DE">
        <w:t xml:space="preserve">the Goss Gilroy report has yet to be </w:t>
      </w:r>
      <w:r w:rsidR="002B1319" w:rsidRPr="008304DE">
        <w:t xml:space="preserve">released </w:t>
      </w:r>
      <w:r w:rsidR="008304DE" w:rsidRPr="008304DE">
        <w:t>publicly</w:t>
      </w:r>
      <w:r w:rsidR="002B1319" w:rsidRPr="008304DE">
        <w:t>,</w:t>
      </w:r>
      <w:r w:rsidR="002B1319" w:rsidRPr="008304DE">
        <w:rPr>
          <w:rStyle w:val="EndnoteReference"/>
        </w:rPr>
        <w:endnoteReference w:id="53"/>
      </w:r>
      <w:r w:rsidR="00DA797F" w:rsidRPr="008304DE">
        <w:t xml:space="preserve"> the Province i</w:t>
      </w:r>
      <w:r w:rsidR="00272BB7" w:rsidRPr="008304DE">
        <w:t>s moving forward in the next nine</w:t>
      </w:r>
      <w:r w:rsidR="00DA797F" w:rsidRPr="008304DE">
        <w:t xml:space="preserve"> regions.</w:t>
      </w:r>
      <w:r w:rsidR="00D613CD" w:rsidRPr="008304DE">
        <w:t xml:space="preserve"> </w:t>
      </w:r>
      <w:r w:rsidR="000725EE" w:rsidRPr="008304DE">
        <w:t>ISAC is calling for more transparency on the outcomes of these prototype regions</w:t>
      </w:r>
      <w:r w:rsidR="008304DE" w:rsidRPr="008304DE">
        <w:t xml:space="preserve"> to understand the impacts of the EST on social assistance clients</w:t>
      </w:r>
      <w:r w:rsidR="000725EE" w:rsidRPr="008304DE">
        <w:t xml:space="preserve">. </w:t>
      </w:r>
    </w:p>
    <w:p w14:paraId="59068E0F" w14:textId="77777777" w:rsidR="00B41BF5" w:rsidRPr="002B1715" w:rsidRDefault="00B41BF5" w:rsidP="007309C5">
      <w:pPr>
        <w:rPr>
          <w:highlight w:val="yellow"/>
        </w:rPr>
      </w:pPr>
    </w:p>
    <w:p w14:paraId="313FA057" w14:textId="02673BC3" w:rsidR="00095907" w:rsidRPr="00D613CD" w:rsidRDefault="00D74C2A" w:rsidP="007309C5">
      <w:r w:rsidRPr="00D613CD">
        <w:t xml:space="preserve">When a similar pay-for-performance model was piloted in 2008 </w:t>
      </w:r>
      <w:r w:rsidR="00B80FC7" w:rsidRPr="00D613CD">
        <w:t>in Ontario with</w:t>
      </w:r>
      <w:r w:rsidRPr="00D613CD">
        <w:t xml:space="preserve"> WCG, the </w:t>
      </w:r>
      <w:r w:rsidR="00C13A5B">
        <w:t xml:space="preserve">current </w:t>
      </w:r>
      <w:r w:rsidRPr="00D613CD">
        <w:t>SSMs in the Peel region, only “13% of all participants found sustained employment for the full 18 months of the pilot.</w:t>
      </w:r>
      <w:r w:rsidR="00C13A5B">
        <w:t>”</w:t>
      </w:r>
      <w:r w:rsidR="00CB13E3" w:rsidRPr="00D613CD">
        <w:rPr>
          <w:rStyle w:val="EndnoteReference"/>
        </w:rPr>
        <w:t xml:space="preserve"> </w:t>
      </w:r>
      <w:r w:rsidR="00CB13E3" w:rsidRPr="00D613CD">
        <w:rPr>
          <w:rStyle w:val="EndnoteReference"/>
        </w:rPr>
        <w:endnoteReference w:id="54"/>
      </w:r>
      <w:r w:rsidRPr="00D613CD">
        <w:t xml:space="preserve">  Further, 72% of participants earned $10 or less</w:t>
      </w:r>
      <w:r w:rsidR="002F0F76">
        <w:t xml:space="preserve"> per hour</w:t>
      </w:r>
      <w:r w:rsidRPr="00D613CD">
        <w:t xml:space="preserve"> (approximately $1</w:t>
      </w:r>
      <w:r w:rsidR="002F0F76">
        <w:t>3.50</w:t>
      </w:r>
      <w:r w:rsidRPr="00D613CD">
        <w:t xml:space="preserve"> or less in </w:t>
      </w:r>
      <w:r w:rsidR="002F0F76">
        <w:t>2022</w:t>
      </w:r>
      <w:r w:rsidRPr="00D613CD">
        <w:t xml:space="preserve"> dollars).</w:t>
      </w:r>
      <w:r w:rsidR="00CB13E3" w:rsidRPr="00D613CD">
        <w:rPr>
          <w:rStyle w:val="EndnoteReference"/>
        </w:rPr>
        <w:t xml:space="preserve"> </w:t>
      </w:r>
      <w:r w:rsidR="00CB13E3" w:rsidRPr="00D613CD">
        <w:rPr>
          <w:rStyle w:val="EndnoteReference"/>
        </w:rPr>
        <w:endnoteReference w:id="55"/>
      </w:r>
      <w:r w:rsidRPr="00D613CD">
        <w:rPr>
          <w:vertAlign w:val="superscript"/>
        </w:rPr>
        <w:t>,</w:t>
      </w:r>
      <w:r w:rsidR="00CB13E3" w:rsidRPr="00D613CD">
        <w:rPr>
          <w:rStyle w:val="EndnoteReference"/>
        </w:rPr>
        <w:endnoteReference w:id="56"/>
      </w:r>
      <w:r w:rsidRPr="00D613CD">
        <w:rPr>
          <w:vertAlign w:val="superscript"/>
        </w:rPr>
        <w:t xml:space="preserve">  </w:t>
      </w:r>
      <w:r w:rsidRPr="00D613CD">
        <w:t>While there was some job satisfaction, roughly half of the jobs were part-time and one third lasted three months or less.</w:t>
      </w:r>
      <w:r w:rsidR="00CB13E3" w:rsidRPr="00D613CD">
        <w:rPr>
          <w:rStyle w:val="EndnoteReference"/>
        </w:rPr>
        <w:t xml:space="preserve"> </w:t>
      </w:r>
      <w:r w:rsidR="00CB13E3" w:rsidRPr="00D613CD">
        <w:rPr>
          <w:rStyle w:val="EndnoteReference"/>
        </w:rPr>
        <w:endnoteReference w:id="57"/>
      </w:r>
      <w:r w:rsidR="00017CA8" w:rsidRPr="00D613CD">
        <w:t xml:space="preserve"> </w:t>
      </w:r>
      <w:r w:rsidR="00CC06D6" w:rsidRPr="00D613CD">
        <w:t>Ultimately,</w:t>
      </w:r>
      <w:r w:rsidR="00017CA8" w:rsidRPr="00D613CD">
        <w:t xml:space="preserve"> </w:t>
      </w:r>
      <w:r w:rsidR="00CC06D6" w:rsidRPr="00D613CD">
        <w:t>this model</w:t>
      </w:r>
      <w:r w:rsidR="00017CA8" w:rsidRPr="00D613CD">
        <w:t xml:space="preserve"> cost the Province money.</w:t>
      </w:r>
      <w:r w:rsidR="00CB13E3" w:rsidRPr="00D613CD">
        <w:rPr>
          <w:rStyle w:val="EndnoteReference"/>
        </w:rPr>
        <w:t xml:space="preserve"> </w:t>
      </w:r>
      <w:r w:rsidR="00CB13E3" w:rsidRPr="00D613CD">
        <w:rPr>
          <w:rStyle w:val="EndnoteReference"/>
        </w:rPr>
        <w:endnoteReference w:id="58"/>
      </w:r>
      <w:r w:rsidR="00E6577D" w:rsidRPr="00D613CD">
        <w:t xml:space="preserve"> </w:t>
      </w:r>
    </w:p>
    <w:p w14:paraId="4B8BE948" w14:textId="77777777" w:rsidR="00095907" w:rsidRPr="00D613CD" w:rsidRDefault="00095907" w:rsidP="007309C5"/>
    <w:p w14:paraId="37C90120" w14:textId="6976ECC0" w:rsidR="00286BE0" w:rsidRPr="00D613CD" w:rsidRDefault="00311056" w:rsidP="007309C5">
      <w:r w:rsidRPr="00D613CD">
        <w:t xml:space="preserve">A similar model that was </w:t>
      </w:r>
      <w:r w:rsidR="007E3D3D" w:rsidRPr="00D613CD">
        <w:t xml:space="preserve">used in Australia in 1998 </w:t>
      </w:r>
      <w:r w:rsidR="001E2941" w:rsidRPr="00D613CD">
        <w:t>found that participants</w:t>
      </w:r>
      <w:r w:rsidR="007E3D3D" w:rsidRPr="00D613CD">
        <w:t xml:space="preserve"> “cycled on and off the program</w:t>
      </w:r>
      <w:r w:rsidR="003F2334" w:rsidRPr="00D613CD">
        <w:t>”</w:t>
      </w:r>
      <w:r w:rsidR="007E3D3D" w:rsidRPr="00D613CD">
        <w:t xml:space="preserve"> because of precarious and short-term</w:t>
      </w:r>
      <w:r w:rsidR="003F2334" w:rsidRPr="00D613CD">
        <w:t xml:space="preserve"> work options, that there was higher caseloads for caseworkers and higher staff turnover</w:t>
      </w:r>
      <w:r w:rsidR="00E2514B" w:rsidRPr="00D613CD">
        <w:t xml:space="preserve">, and </w:t>
      </w:r>
      <w:r w:rsidR="001E2941" w:rsidRPr="00D613CD">
        <w:t xml:space="preserve">that some clients experienced </w:t>
      </w:r>
      <w:r w:rsidR="00E2514B" w:rsidRPr="00D613CD">
        <w:t xml:space="preserve">increased mental health </w:t>
      </w:r>
      <w:r w:rsidR="002F0F76">
        <w:t xml:space="preserve">issues </w:t>
      </w:r>
      <w:r w:rsidR="001E2941" w:rsidRPr="00D613CD">
        <w:t>because of the program</w:t>
      </w:r>
      <w:r w:rsidR="00E2514B" w:rsidRPr="00D613CD">
        <w:rPr>
          <w:rStyle w:val="EndnoteReference"/>
        </w:rPr>
        <w:t xml:space="preserve"> </w:t>
      </w:r>
      <w:r w:rsidR="00095907" w:rsidRPr="00D613CD">
        <w:t>.</w:t>
      </w:r>
      <w:r w:rsidR="00CB13E3" w:rsidRPr="00D613CD">
        <w:rPr>
          <w:rStyle w:val="EndnoteReference"/>
        </w:rPr>
        <w:endnoteReference w:id="59"/>
      </w:r>
      <w:r w:rsidR="007E3D3D" w:rsidRPr="00D613CD">
        <w:t xml:space="preserve"> </w:t>
      </w:r>
      <w:r w:rsidR="00F01B55" w:rsidRPr="00D613CD">
        <w:t>In the United Kingdom in 2011</w:t>
      </w:r>
      <w:r w:rsidR="00E2514B" w:rsidRPr="00D613CD">
        <w:t xml:space="preserve">, </w:t>
      </w:r>
      <w:r w:rsidR="00095907" w:rsidRPr="00D613CD">
        <w:t>a similar</w:t>
      </w:r>
      <w:r w:rsidR="00E2514B" w:rsidRPr="00D613CD">
        <w:t xml:space="preserve"> model placed only 3.6</w:t>
      </w:r>
      <w:r w:rsidR="00222D5A">
        <w:t xml:space="preserve">%  </w:t>
      </w:r>
      <w:r w:rsidR="00E2514B" w:rsidRPr="00D613CD">
        <w:t>of clients in employment in the first 14 months</w:t>
      </w:r>
      <w:r w:rsidR="001E2941" w:rsidRPr="00D613CD">
        <w:t>, representing 30</w:t>
      </w:r>
      <w:r w:rsidR="00222D5A">
        <w:t>%</w:t>
      </w:r>
      <w:r w:rsidR="00B863F9">
        <w:t xml:space="preserve"> </w:t>
      </w:r>
      <w:r w:rsidR="001E2941" w:rsidRPr="00D613CD">
        <w:t>of the target and cost the government “significantly more” than expected.</w:t>
      </w:r>
      <w:r w:rsidR="00CB13E3" w:rsidRPr="00D613CD">
        <w:rPr>
          <w:rStyle w:val="EndnoteReference"/>
        </w:rPr>
        <w:t xml:space="preserve"> </w:t>
      </w:r>
      <w:r w:rsidR="00CB13E3" w:rsidRPr="00D613CD">
        <w:rPr>
          <w:rStyle w:val="EndnoteReference"/>
        </w:rPr>
        <w:endnoteReference w:id="60"/>
      </w:r>
      <w:r w:rsidR="00D831D7" w:rsidRPr="00D613CD">
        <w:t xml:space="preserve"> </w:t>
      </w:r>
    </w:p>
    <w:p w14:paraId="4427727B" w14:textId="77777777" w:rsidR="002C2901" w:rsidRPr="00D613CD" w:rsidRDefault="002C2901" w:rsidP="007309C5"/>
    <w:p w14:paraId="030350E8" w14:textId="161224BA" w:rsidR="00C209C3" w:rsidRPr="00D613CD" w:rsidRDefault="00CC06D6" w:rsidP="007309C5">
      <w:r w:rsidRPr="00D613CD">
        <w:lastRenderedPageBreak/>
        <w:t>E</w:t>
      </w:r>
      <w:r w:rsidR="00B95F2D" w:rsidRPr="00D613CD">
        <w:t xml:space="preserve">mployment supports are essential, </w:t>
      </w:r>
      <w:r w:rsidR="00095907" w:rsidRPr="00D613CD">
        <w:t xml:space="preserve">however, </w:t>
      </w:r>
      <w:r w:rsidRPr="00D613CD">
        <w:t>there are</w:t>
      </w:r>
      <w:r w:rsidR="00095907" w:rsidRPr="00D613CD">
        <w:t xml:space="preserve"> serious concerns with preliminary findings and the transformation process so far</w:t>
      </w:r>
      <w:r w:rsidR="00985B8A" w:rsidRPr="00D613CD">
        <w:t xml:space="preserve">. First, lack of </w:t>
      </w:r>
      <w:r w:rsidR="00732224" w:rsidRPr="00D613CD">
        <w:t xml:space="preserve">“planning, preparedness, and </w:t>
      </w:r>
      <w:r w:rsidR="00985B8A" w:rsidRPr="00D613CD">
        <w:t>communication</w:t>
      </w:r>
      <w:r w:rsidR="00732224" w:rsidRPr="00D613CD">
        <w:t>”</w:t>
      </w:r>
      <w:r w:rsidR="00985B8A" w:rsidRPr="00D613CD">
        <w:t xml:space="preserve"> between </w:t>
      </w:r>
      <w:r w:rsidR="00732224" w:rsidRPr="00D613CD">
        <w:t>the two Ministries</w:t>
      </w:r>
      <w:r w:rsidR="00985B8A" w:rsidRPr="00D613CD">
        <w:t>,</w:t>
      </w:r>
      <w:r w:rsidR="00CB13E3" w:rsidRPr="00D613CD">
        <w:rPr>
          <w:rStyle w:val="EndnoteReference"/>
        </w:rPr>
        <w:t xml:space="preserve"> </w:t>
      </w:r>
      <w:r w:rsidR="00CB13E3" w:rsidRPr="00D613CD">
        <w:rPr>
          <w:rStyle w:val="EndnoteReference"/>
        </w:rPr>
        <w:endnoteReference w:id="61"/>
      </w:r>
      <w:r w:rsidR="00985B8A" w:rsidRPr="00D613CD">
        <w:t xml:space="preserve"> </w:t>
      </w:r>
      <w:r w:rsidR="00732224" w:rsidRPr="00D613CD">
        <w:t xml:space="preserve">is causing </w:t>
      </w:r>
      <w:r w:rsidR="00916C9D" w:rsidRPr="00D613CD">
        <w:t xml:space="preserve">particular </w:t>
      </w:r>
      <w:r w:rsidR="00732224" w:rsidRPr="00D613CD">
        <w:t>difficulties for clients seeking employment supports while still on social assistance</w:t>
      </w:r>
      <w:r w:rsidR="00095907" w:rsidRPr="00D613CD">
        <w:t xml:space="preserve">. This </w:t>
      </w:r>
      <w:r w:rsidR="00916C9D" w:rsidRPr="00D613CD">
        <w:t>undercut</w:t>
      </w:r>
      <w:r w:rsidR="00095907" w:rsidRPr="00D613CD">
        <w:t>s</w:t>
      </w:r>
      <w:r w:rsidR="00916C9D" w:rsidRPr="00D613CD">
        <w:t xml:space="preserve"> the goal of service integration.</w:t>
      </w:r>
      <w:r w:rsidR="00985B8A" w:rsidRPr="00D613CD">
        <w:t xml:space="preserve"> </w:t>
      </w:r>
      <w:r w:rsidR="00B047BD" w:rsidRPr="00D613CD">
        <w:t xml:space="preserve"> </w:t>
      </w:r>
      <w:r w:rsidR="00916C9D" w:rsidRPr="00D613CD">
        <w:t>Second,</w:t>
      </w:r>
      <w:r w:rsidR="00F40901" w:rsidRPr="00D613CD">
        <w:t xml:space="preserve"> the “increased administrative burden”</w:t>
      </w:r>
      <w:r w:rsidR="00916C9D" w:rsidRPr="00D613CD">
        <w:rPr>
          <w:rStyle w:val="EndnoteReference"/>
        </w:rPr>
        <w:t xml:space="preserve"> </w:t>
      </w:r>
      <w:r w:rsidR="00A14FD0" w:rsidRPr="00D613CD">
        <w:t>and higher caseloads</w:t>
      </w:r>
      <w:r w:rsidR="00CB13E3" w:rsidRPr="00D613CD">
        <w:rPr>
          <w:rStyle w:val="EndnoteReference"/>
        </w:rPr>
        <w:endnoteReference w:id="62"/>
      </w:r>
      <w:r w:rsidR="004041E6" w:rsidRPr="00D613CD">
        <w:t xml:space="preserve"> </w:t>
      </w:r>
      <w:r w:rsidR="00F40901" w:rsidRPr="00D613CD">
        <w:t>on employment service provide</w:t>
      </w:r>
      <w:r w:rsidR="009446C0" w:rsidRPr="00D613CD">
        <w:t>r</w:t>
      </w:r>
      <w:r w:rsidR="00F40901" w:rsidRPr="00D613CD">
        <w:t xml:space="preserve">s </w:t>
      </w:r>
      <w:r w:rsidR="00095907" w:rsidRPr="00D613CD">
        <w:t xml:space="preserve">translates </w:t>
      </w:r>
      <w:r w:rsidR="00A01AB4">
        <w:t>into</w:t>
      </w:r>
      <w:r w:rsidR="00F40901" w:rsidRPr="00D613CD">
        <w:t xml:space="preserve"> less time being spent with clients</w:t>
      </w:r>
      <w:r w:rsidR="00095907" w:rsidRPr="00D613CD">
        <w:t xml:space="preserve">. This </w:t>
      </w:r>
      <w:r w:rsidR="00916C9D" w:rsidRPr="00D613CD">
        <w:t>counters the</w:t>
      </w:r>
      <w:r w:rsidR="00095907" w:rsidRPr="00D613CD">
        <w:t xml:space="preserve"> goal of a</w:t>
      </w:r>
      <w:r w:rsidR="00916C9D" w:rsidRPr="00D613CD">
        <w:t xml:space="preserve"> client-centred approach. Third, p</w:t>
      </w:r>
      <w:r w:rsidR="00A03BF5" w:rsidRPr="00D613CD">
        <w:t>ay-per-performance funding is not recognizing pre-employment work</w:t>
      </w:r>
      <w:r w:rsidR="00194030" w:rsidRPr="00D613CD">
        <w:t xml:space="preserve">, which is </w:t>
      </w:r>
      <w:r w:rsidR="00095907" w:rsidRPr="00D613CD">
        <w:t>extensive</w:t>
      </w:r>
      <w:r w:rsidR="00194030" w:rsidRPr="00D613CD">
        <w:t xml:space="preserve"> for clients who experience several barriers to </w:t>
      </w:r>
      <w:r w:rsidR="009E21A1" w:rsidRPr="00D613CD">
        <w:t>labour force attachment</w:t>
      </w:r>
      <w:r w:rsidR="00194030" w:rsidRPr="00D613CD">
        <w:t xml:space="preserve"> including </w:t>
      </w:r>
      <w:r w:rsidR="00A01AB4">
        <w:t>lack of adequate wraparound supports</w:t>
      </w:r>
      <w:r w:rsidR="00194030" w:rsidRPr="00D613CD">
        <w:t xml:space="preserve">. </w:t>
      </w:r>
      <w:r w:rsidR="002C2104" w:rsidRPr="00D613CD">
        <w:t>Fourth, the 20-hour work week as a measure of success is problematic on two fronts: it</w:t>
      </w:r>
      <w:r w:rsidRPr="00D613CD">
        <w:t xml:space="preserve"> is</w:t>
      </w:r>
      <w:r w:rsidR="002C2104" w:rsidRPr="00D613CD">
        <w:t xml:space="preserve"> impractical if clients are simultaneously engaged in life stabilization </w:t>
      </w:r>
      <w:r w:rsidR="00DF3A2C">
        <w:t xml:space="preserve">activities </w:t>
      </w:r>
      <w:r w:rsidR="00095907" w:rsidRPr="00D613CD">
        <w:t>or</w:t>
      </w:r>
      <w:r w:rsidR="002C2104" w:rsidRPr="00D613CD">
        <w:t xml:space="preserve"> training; and, with little consideration for the quality of jobs</w:t>
      </w:r>
      <w:r w:rsidR="00962D18" w:rsidRPr="00D613CD">
        <w:t xml:space="preserve">, </w:t>
      </w:r>
      <w:r w:rsidR="002C2104" w:rsidRPr="00D613CD">
        <w:t xml:space="preserve">it is unrealistic that 20-hour work week will provide </w:t>
      </w:r>
      <w:r w:rsidR="00095907" w:rsidRPr="00D613CD">
        <w:t xml:space="preserve">long-term </w:t>
      </w:r>
      <w:r w:rsidR="002C2104" w:rsidRPr="00D613CD">
        <w:t xml:space="preserve">financial independence. </w:t>
      </w:r>
    </w:p>
    <w:p w14:paraId="4BB52985" w14:textId="77777777" w:rsidR="00C209C3" w:rsidRPr="002B1715" w:rsidRDefault="00C209C3" w:rsidP="007309C5">
      <w:pPr>
        <w:rPr>
          <w:highlight w:val="yellow"/>
        </w:rPr>
      </w:pPr>
    </w:p>
    <w:p w14:paraId="35A593AD" w14:textId="24F41524" w:rsidR="00C209C3" w:rsidRPr="00D613CD" w:rsidRDefault="00962D18" w:rsidP="007309C5">
      <w:r w:rsidRPr="00D613CD">
        <w:t>In general, there</w:t>
      </w:r>
      <w:r w:rsidR="002C2104" w:rsidRPr="00D613CD">
        <w:t xml:space="preserve"> is a lack of recognition that many clients requir</w:t>
      </w:r>
      <w:r w:rsidR="00902386" w:rsidRPr="00D613CD">
        <w:t>e</w:t>
      </w:r>
      <w:r w:rsidR="002C2104" w:rsidRPr="00D613CD">
        <w:t xml:space="preserve"> significant </w:t>
      </w:r>
      <w:r w:rsidR="004706D5" w:rsidRPr="00D613CD">
        <w:t>“life stabilization, upskilling and training supports to become employment and retention ready</w:t>
      </w:r>
      <w:r w:rsidR="00823042" w:rsidRPr="00D613CD">
        <w:t>.”</w:t>
      </w:r>
      <w:r w:rsidR="00CB13E3" w:rsidRPr="00D613CD">
        <w:rPr>
          <w:rStyle w:val="EndnoteReference"/>
        </w:rPr>
        <w:t xml:space="preserve"> </w:t>
      </w:r>
      <w:r w:rsidR="00CB13E3" w:rsidRPr="00D613CD">
        <w:rPr>
          <w:rStyle w:val="EndnoteReference"/>
        </w:rPr>
        <w:endnoteReference w:id="63"/>
      </w:r>
      <w:r w:rsidR="004706D5" w:rsidRPr="00D613CD">
        <w:t xml:space="preserve"> </w:t>
      </w:r>
      <w:r w:rsidR="001340BB">
        <w:rPr>
          <w:lang w:val="en-US" w:eastAsia="en-CA"/>
        </w:rPr>
        <w:t>There must be funding</w:t>
      </w:r>
      <w:r w:rsidR="001340BB" w:rsidRPr="001340BB">
        <w:rPr>
          <w:lang w:val="en-US" w:eastAsia="en-CA"/>
        </w:rPr>
        <w:t xml:space="preserve"> for mandatory work-related benefits analogous to the suite available under Ontario Works to ensure people phase into employment and </w:t>
      </w:r>
      <w:r w:rsidR="001340BB">
        <w:rPr>
          <w:lang w:val="en-US" w:eastAsia="en-CA"/>
        </w:rPr>
        <w:t>are successful over the long-term</w:t>
      </w:r>
      <w:r w:rsidR="001340BB" w:rsidRPr="001340BB">
        <w:rPr>
          <w:lang w:val="en-US" w:eastAsia="en-CA"/>
        </w:rPr>
        <w:t>.</w:t>
      </w:r>
      <w:r w:rsidR="001340BB">
        <w:rPr>
          <w:rFonts w:ascii="Helvetica" w:hAnsi="Helvetica" w:cs="Helvetica"/>
          <w:b/>
          <w:bCs/>
          <w:lang w:val="en-US" w:eastAsia="en-CA"/>
        </w:rPr>
        <w:t xml:space="preserve">  </w:t>
      </w:r>
      <w:r w:rsidR="001340BB">
        <w:t>Further, a</w:t>
      </w:r>
      <w:r w:rsidR="00C209C3" w:rsidRPr="00D613CD">
        <w:t xml:space="preserve"> single-minded focus on moving people into any job, in a context where almost a quarter of new jobs in Ontario offer very low pay and little security,</w:t>
      </w:r>
      <w:r w:rsidR="00CB13E3" w:rsidRPr="00D613CD">
        <w:rPr>
          <w:rStyle w:val="EndnoteReference"/>
        </w:rPr>
        <w:t xml:space="preserve"> </w:t>
      </w:r>
      <w:r w:rsidR="00CB13E3" w:rsidRPr="00D613CD">
        <w:rPr>
          <w:rStyle w:val="EndnoteReference"/>
        </w:rPr>
        <w:endnoteReference w:id="64"/>
      </w:r>
      <w:r w:rsidR="00C209C3" w:rsidRPr="00D613CD">
        <w:t xml:space="preserve"> may not lead to financial independence but </w:t>
      </w:r>
      <w:r w:rsidR="00CC06D6" w:rsidRPr="00D613CD">
        <w:t xml:space="preserve">instead, </w:t>
      </w:r>
      <w:r w:rsidR="00C209C3" w:rsidRPr="00D613CD">
        <w:t xml:space="preserve">to work in unsafe </w:t>
      </w:r>
      <w:r w:rsidR="005E2066" w:rsidRPr="00D613CD">
        <w:t xml:space="preserve">and precarious </w:t>
      </w:r>
      <w:r w:rsidR="00C209C3" w:rsidRPr="00D613CD">
        <w:t xml:space="preserve">working conditions. It is the increase in precarious employment, growing levels of working poor and cuts to other social and disability programs that force people to rely on social assistance, a point </w:t>
      </w:r>
      <w:r w:rsidR="003E4357" w:rsidRPr="00D613CD">
        <w:t>that</w:t>
      </w:r>
      <w:r w:rsidR="00C209C3" w:rsidRPr="00D613CD">
        <w:t xml:space="preserve"> </w:t>
      </w:r>
      <w:r w:rsidR="005E2066" w:rsidRPr="00D613CD">
        <w:t xml:space="preserve">was </w:t>
      </w:r>
      <w:r w:rsidR="00C209C3" w:rsidRPr="00D613CD">
        <w:t xml:space="preserve">missed in </w:t>
      </w:r>
      <w:r w:rsidR="005E2066" w:rsidRPr="00D613CD">
        <w:t>the Auditor General’s</w:t>
      </w:r>
      <w:r w:rsidR="00C209C3" w:rsidRPr="00D613CD">
        <w:t xml:space="preserve"> 2019 report on </w:t>
      </w:r>
      <w:r w:rsidR="0072419A" w:rsidRPr="00D613CD">
        <w:t xml:space="preserve">the </w:t>
      </w:r>
      <w:r w:rsidR="00C209C3" w:rsidRPr="00D613CD">
        <w:t>O</w:t>
      </w:r>
      <w:r w:rsidR="0072419A" w:rsidRPr="00D613CD">
        <w:t xml:space="preserve">ntario </w:t>
      </w:r>
      <w:r w:rsidR="00C209C3" w:rsidRPr="00D613CD">
        <w:t>D</w:t>
      </w:r>
      <w:r w:rsidR="0072419A" w:rsidRPr="00D613CD">
        <w:t xml:space="preserve">isability </w:t>
      </w:r>
      <w:r w:rsidR="00C209C3" w:rsidRPr="00D613CD">
        <w:t>S</w:t>
      </w:r>
      <w:r w:rsidR="0072419A" w:rsidRPr="00D613CD">
        <w:t xml:space="preserve">upport </w:t>
      </w:r>
      <w:r w:rsidR="00C209C3" w:rsidRPr="00D613CD">
        <w:t>P</w:t>
      </w:r>
      <w:r w:rsidR="0072419A" w:rsidRPr="00D613CD">
        <w:t>rogram</w:t>
      </w:r>
      <w:r w:rsidR="00C209C3" w:rsidRPr="00D613CD">
        <w:t>.</w:t>
      </w:r>
      <w:r w:rsidR="00CB13E3" w:rsidRPr="00D613CD">
        <w:rPr>
          <w:rStyle w:val="EndnoteReference"/>
        </w:rPr>
        <w:endnoteReference w:id="65"/>
      </w:r>
      <w:r w:rsidR="00C209C3" w:rsidRPr="00D613CD">
        <w:rPr>
          <w:vertAlign w:val="superscript"/>
        </w:rPr>
        <w:t>,</w:t>
      </w:r>
      <w:r w:rsidR="00CB13E3" w:rsidRPr="00D613CD">
        <w:rPr>
          <w:rStyle w:val="EndnoteReference"/>
        </w:rPr>
        <w:endnoteReference w:id="66"/>
      </w:r>
      <w:r w:rsidR="00054772" w:rsidRPr="00D613CD">
        <w:t xml:space="preserve"> </w:t>
      </w:r>
      <w:r w:rsidR="00C209C3" w:rsidRPr="00D613CD">
        <w:t>The</w:t>
      </w:r>
      <w:r w:rsidR="005E2066" w:rsidRPr="00D613CD">
        <w:t xml:space="preserve">se issues </w:t>
      </w:r>
      <w:r w:rsidR="00C209C3" w:rsidRPr="00D613CD">
        <w:t xml:space="preserve">have intensified </w:t>
      </w:r>
      <w:r w:rsidR="00D613CD" w:rsidRPr="00D613CD">
        <w:t xml:space="preserve">both </w:t>
      </w:r>
      <w:r w:rsidR="00C209C3" w:rsidRPr="00D613CD">
        <w:t xml:space="preserve">during </w:t>
      </w:r>
      <w:r w:rsidR="00D613CD" w:rsidRPr="00D613CD">
        <w:t>and after the</w:t>
      </w:r>
      <w:r w:rsidR="00C209C3" w:rsidRPr="00D613CD">
        <w:t xml:space="preserve"> </w:t>
      </w:r>
      <w:r w:rsidR="00425610">
        <w:t xml:space="preserve">acute period of the </w:t>
      </w:r>
      <w:r w:rsidR="00C209C3" w:rsidRPr="00D613CD">
        <w:t>COVID-19 pandemic</w:t>
      </w:r>
      <w:r w:rsidR="00425610">
        <w:t>.</w:t>
      </w:r>
      <w:r w:rsidR="00C209C3" w:rsidRPr="00D613CD">
        <w:t xml:space="preserve"> </w:t>
      </w:r>
      <w:r w:rsidR="00425610">
        <w:t>T</w:t>
      </w:r>
      <w:r w:rsidR="00C209C3" w:rsidRPr="00D613CD">
        <w:t xml:space="preserve">he </w:t>
      </w:r>
      <w:r w:rsidR="00425610">
        <w:t xml:space="preserve">pandemic-skewed </w:t>
      </w:r>
      <w:r w:rsidR="00C209C3" w:rsidRPr="00D613CD">
        <w:t>realities of the labour must be considered</w:t>
      </w:r>
      <w:r w:rsidR="00504240">
        <w:t>,</w:t>
      </w:r>
      <w:r w:rsidR="00425610">
        <w:t xml:space="preserve"> as well</w:t>
      </w:r>
      <w:r w:rsidR="00C209C3" w:rsidRPr="00D613CD">
        <w:t>.</w:t>
      </w:r>
    </w:p>
    <w:p w14:paraId="1F231BDB" w14:textId="77777777" w:rsidR="00C209C3" w:rsidRPr="002B1715" w:rsidRDefault="00C209C3" w:rsidP="007309C5">
      <w:pPr>
        <w:rPr>
          <w:highlight w:val="yellow"/>
        </w:rPr>
      </w:pPr>
    </w:p>
    <w:p w14:paraId="42C046EE" w14:textId="6A3E4BA3" w:rsidR="00902386" w:rsidRPr="00766CD3" w:rsidRDefault="00C209C3" w:rsidP="00902386">
      <w:r w:rsidRPr="00766CD3">
        <w:t xml:space="preserve">There is no plan </w:t>
      </w:r>
      <w:r w:rsidR="00461EC0" w:rsidRPr="00766CD3">
        <w:t>for how</w:t>
      </w:r>
      <w:r w:rsidRPr="00766CD3">
        <w:t xml:space="preserve"> th</w:t>
      </w:r>
      <w:r w:rsidR="005E2066" w:rsidRPr="00766CD3">
        <w:t>e ongoing</w:t>
      </w:r>
      <w:r w:rsidRPr="00766CD3">
        <w:t xml:space="preserve"> </w:t>
      </w:r>
      <w:r w:rsidR="00DF3A2C">
        <w:t>EST</w:t>
      </w:r>
      <w:r w:rsidRPr="00766CD3">
        <w:t xml:space="preserve"> </w:t>
      </w:r>
      <w:r w:rsidR="0071701D">
        <w:t xml:space="preserve">will </w:t>
      </w:r>
      <w:r w:rsidRPr="00766CD3">
        <w:t xml:space="preserve">impact </w:t>
      </w:r>
      <w:r w:rsidR="00DF3A2C">
        <w:t>ODSP</w:t>
      </w:r>
      <w:r w:rsidRPr="00766CD3">
        <w:t xml:space="preserve"> clients who are able to work. </w:t>
      </w:r>
      <w:r w:rsidR="003439F5" w:rsidRPr="00766CD3">
        <w:t xml:space="preserve">For people with disabilities who require </w:t>
      </w:r>
      <w:r w:rsidR="00F32E8C" w:rsidRPr="00766CD3">
        <w:t>accommodation</w:t>
      </w:r>
      <w:r w:rsidR="003439F5" w:rsidRPr="00766CD3">
        <w:t xml:space="preserve">, </w:t>
      </w:r>
      <w:r w:rsidR="005E2066" w:rsidRPr="00766CD3">
        <w:t>existing</w:t>
      </w:r>
      <w:r w:rsidR="003439F5" w:rsidRPr="00766CD3">
        <w:t xml:space="preserve"> stereotypes that disabilities are continuous, permanent</w:t>
      </w:r>
      <w:r w:rsidR="009E21A1" w:rsidRPr="00766CD3">
        <w:t xml:space="preserve">, </w:t>
      </w:r>
      <w:r w:rsidR="003439F5" w:rsidRPr="00766CD3">
        <w:t>and change very little over time</w:t>
      </w:r>
      <w:r w:rsidR="005E2066" w:rsidRPr="00766CD3">
        <w:t xml:space="preserve"> contribute to barriers to accessing work, and do not paint an accurate picture of what </w:t>
      </w:r>
      <w:r w:rsidR="003439F5" w:rsidRPr="00766CD3">
        <w:t>the majority of persons with disabilities</w:t>
      </w:r>
      <w:r w:rsidR="005E2066" w:rsidRPr="00766CD3">
        <w:t xml:space="preserve"> experience</w:t>
      </w:r>
      <w:r w:rsidR="003439F5" w:rsidRPr="00766CD3">
        <w:t>.</w:t>
      </w:r>
      <w:r w:rsidR="00CB13E3" w:rsidRPr="00766CD3">
        <w:rPr>
          <w:rStyle w:val="EndnoteReference"/>
        </w:rPr>
        <w:endnoteReference w:id="67"/>
      </w:r>
      <w:r w:rsidR="003439F5" w:rsidRPr="00766CD3">
        <w:t xml:space="preserve"> A more </w:t>
      </w:r>
      <w:r w:rsidR="00D32677" w:rsidRPr="00766CD3">
        <w:t xml:space="preserve">comprehensive </w:t>
      </w:r>
      <w:r w:rsidR="003439F5" w:rsidRPr="00766CD3">
        <w:t>understanding of disability includes people with episodic disabilities such as multiple sclerosis, rheumatoid arthritis, some forms of cancer</w:t>
      </w:r>
      <w:r w:rsidR="006B395A">
        <w:t>,</w:t>
      </w:r>
      <w:r w:rsidR="003439F5" w:rsidRPr="00766CD3">
        <w:t xml:space="preserve"> and mental health issues.</w:t>
      </w:r>
      <w:r w:rsidR="00CB13E3" w:rsidRPr="00766CD3">
        <w:rPr>
          <w:rStyle w:val="EndnoteReference"/>
        </w:rPr>
        <w:endnoteReference w:id="68"/>
      </w:r>
      <w:r w:rsidR="003439F5" w:rsidRPr="00766CD3">
        <w:t xml:space="preserve"> The labour market remains ill-equipped to accommodate disability-related employment barriers, with compliance rates with the</w:t>
      </w:r>
      <w:r w:rsidR="003439F5" w:rsidRPr="00766CD3">
        <w:rPr>
          <w:i/>
          <w:iCs/>
        </w:rPr>
        <w:t xml:space="preserve"> Accessibility for Ontarians with Disabilities Act, 2005 </w:t>
      </w:r>
      <w:r w:rsidR="003439F5" w:rsidRPr="00766CD3">
        <w:t>hovering between the 40% and 67%.</w:t>
      </w:r>
      <w:r w:rsidR="00CB13E3" w:rsidRPr="00766CD3">
        <w:rPr>
          <w:rStyle w:val="EndnoteReference"/>
        </w:rPr>
        <w:endnoteReference w:id="69"/>
      </w:r>
      <w:r w:rsidR="003439F5" w:rsidRPr="00766CD3">
        <w:t xml:space="preserve"> It is imperative that </w:t>
      </w:r>
      <w:r w:rsidR="001C2F02" w:rsidRPr="00766CD3">
        <w:t xml:space="preserve">all of </w:t>
      </w:r>
      <w:r w:rsidR="003439F5" w:rsidRPr="00766CD3">
        <w:t xml:space="preserve">these complex interactions are considered during the proposed integration of employment services for social assistance </w:t>
      </w:r>
      <w:r w:rsidR="001662AD" w:rsidRPr="00766CD3">
        <w:t xml:space="preserve">clients </w:t>
      </w:r>
      <w:r w:rsidR="00AB0ADB" w:rsidRPr="00766CD3">
        <w:t xml:space="preserve">with </w:t>
      </w:r>
      <w:r w:rsidR="003439F5" w:rsidRPr="00766CD3">
        <w:t>Employment Ontario.</w:t>
      </w:r>
    </w:p>
    <w:p w14:paraId="0A19F2EE" w14:textId="77777777" w:rsidR="00902386" w:rsidRPr="002B1715" w:rsidRDefault="00902386" w:rsidP="003439F5">
      <w:pPr>
        <w:rPr>
          <w:highlight w:val="yellow"/>
        </w:rPr>
      </w:pPr>
    </w:p>
    <w:p w14:paraId="2661CA26" w14:textId="4451A457" w:rsidR="00150C5B" w:rsidRDefault="002F2827" w:rsidP="00E55DAB">
      <w:r w:rsidRPr="00792459">
        <w:rPr>
          <w:b/>
        </w:rPr>
        <w:t>Digi</w:t>
      </w:r>
      <w:r w:rsidR="00A44695" w:rsidRPr="00792459">
        <w:rPr>
          <w:b/>
        </w:rPr>
        <w:t>tal access is essential</w:t>
      </w:r>
      <w:r w:rsidR="00D21BCB" w:rsidRPr="00792459">
        <w:rPr>
          <w:b/>
        </w:rPr>
        <w:t>.</w:t>
      </w:r>
      <w:r w:rsidRPr="00792459">
        <w:t xml:space="preserve"> </w:t>
      </w:r>
      <w:r w:rsidR="00D51EB4" w:rsidRPr="00792459">
        <w:t>The</w:t>
      </w:r>
      <w:r w:rsidRPr="00792459">
        <w:t xml:space="preserve"> pandemic </w:t>
      </w:r>
      <w:r w:rsidR="00D51EB4" w:rsidRPr="00792459">
        <w:t>has made digital access an essential service</w:t>
      </w:r>
      <w:r w:rsidR="000623D7" w:rsidRPr="00792459">
        <w:t>, and so has increased digitization as part of social assistance modernization</w:t>
      </w:r>
      <w:r w:rsidRPr="00792459">
        <w:t xml:space="preserve">. </w:t>
      </w:r>
      <w:r w:rsidR="000623D7" w:rsidRPr="00792459">
        <w:t>W</w:t>
      </w:r>
      <w:r w:rsidRPr="00792459">
        <w:t xml:space="preserve">ithout increased </w:t>
      </w:r>
      <w:r w:rsidR="000623D7" w:rsidRPr="00792459">
        <w:t>digital</w:t>
      </w:r>
      <w:r w:rsidRPr="00792459">
        <w:t xml:space="preserve"> support, social assistance </w:t>
      </w:r>
      <w:r w:rsidR="001662AD" w:rsidRPr="00792459">
        <w:t xml:space="preserve">clients </w:t>
      </w:r>
      <w:r w:rsidR="00054772" w:rsidRPr="00792459">
        <w:t>are</w:t>
      </w:r>
      <w:r w:rsidRPr="00792459">
        <w:t xml:space="preserve"> further isolated</w:t>
      </w:r>
      <w:r w:rsidR="00FB0EF7">
        <w:t xml:space="preserve"> from the point of application to interaction</w:t>
      </w:r>
      <w:r w:rsidR="009F77A7">
        <w:t>s</w:t>
      </w:r>
      <w:r w:rsidR="00FB0EF7">
        <w:t xml:space="preserve"> with caseworkers.</w:t>
      </w:r>
      <w:r w:rsidR="000623D7" w:rsidRPr="00792459">
        <w:t xml:space="preserve"> </w:t>
      </w:r>
      <w:r w:rsidR="005E2066" w:rsidRPr="00792459">
        <w:t>C</w:t>
      </w:r>
      <w:r w:rsidR="009C7BBF" w:rsidRPr="00792459">
        <w:t xml:space="preserve">lients </w:t>
      </w:r>
      <w:r w:rsidR="005E2066" w:rsidRPr="00792459">
        <w:t>want</w:t>
      </w:r>
      <w:r w:rsidR="009C7BBF" w:rsidRPr="00792459">
        <w:t xml:space="preserve"> </w:t>
      </w:r>
      <w:r w:rsidR="007E0BF3" w:rsidRPr="00792459">
        <w:t>choices around</w:t>
      </w:r>
      <w:r w:rsidR="008309FE" w:rsidRPr="00792459">
        <w:t xml:space="preserve"> </w:t>
      </w:r>
      <w:r w:rsidR="009C7BBF" w:rsidRPr="00792459">
        <w:t>connect</w:t>
      </w:r>
      <w:r w:rsidR="008309FE" w:rsidRPr="00792459">
        <w:t>ing</w:t>
      </w:r>
      <w:r w:rsidR="009C7BBF" w:rsidRPr="00792459">
        <w:t xml:space="preserve"> with </w:t>
      </w:r>
      <w:r w:rsidR="000623D7" w:rsidRPr="00792459">
        <w:t>their</w:t>
      </w:r>
      <w:r w:rsidR="009C7BBF" w:rsidRPr="00792459">
        <w:t xml:space="preserve"> caseworker</w:t>
      </w:r>
      <w:r w:rsidR="000623D7" w:rsidRPr="00792459">
        <w:t>s.</w:t>
      </w:r>
      <w:r w:rsidR="009C7BBF" w:rsidRPr="00792459">
        <w:t xml:space="preserve"> </w:t>
      </w:r>
      <w:r w:rsidRPr="00792459">
        <w:t xml:space="preserve">While </w:t>
      </w:r>
      <w:r w:rsidR="00F93E28" w:rsidRPr="00792459">
        <w:t>some digital improvements</w:t>
      </w:r>
      <w:r w:rsidRPr="00792459">
        <w:t xml:space="preserve"> </w:t>
      </w:r>
      <w:r w:rsidR="00D51EB4" w:rsidRPr="00792459">
        <w:t xml:space="preserve">as part of modernization </w:t>
      </w:r>
      <w:r w:rsidR="007E0BF3" w:rsidRPr="00792459">
        <w:t>will</w:t>
      </w:r>
      <w:r w:rsidRPr="00792459">
        <w:t xml:space="preserve"> assist </w:t>
      </w:r>
      <w:r w:rsidR="007E0BF3" w:rsidRPr="00792459">
        <w:t xml:space="preserve">some clients </w:t>
      </w:r>
      <w:r w:rsidRPr="00792459">
        <w:t>with reaching caseworkers, the reality is</w:t>
      </w:r>
      <w:r w:rsidR="008309FE" w:rsidRPr="00792459">
        <w:t xml:space="preserve"> that </w:t>
      </w:r>
      <w:r w:rsidR="005E2066" w:rsidRPr="00792459">
        <w:t xml:space="preserve">the </w:t>
      </w:r>
      <w:r w:rsidR="008309FE" w:rsidRPr="00792459">
        <w:t xml:space="preserve">automation, centralization and digitization that are part of modernization are having the opposite effect </w:t>
      </w:r>
      <w:r w:rsidR="005E2066" w:rsidRPr="00792459">
        <w:t>for many</w:t>
      </w:r>
      <w:r w:rsidR="00FB0EF7">
        <w:t xml:space="preserve">, and potentially decreasing access to </w:t>
      </w:r>
      <w:r w:rsidR="006B395A">
        <w:t>benefits to which people are entitled.</w:t>
      </w:r>
    </w:p>
    <w:p w14:paraId="370CC290" w14:textId="77777777" w:rsidR="00150C5B" w:rsidRDefault="00150C5B" w:rsidP="00E55DAB"/>
    <w:p w14:paraId="590127B8" w14:textId="78F268A1" w:rsidR="00E55DAB" w:rsidRPr="00554949" w:rsidRDefault="008309FE" w:rsidP="00E55DAB">
      <w:r w:rsidRPr="00792459">
        <w:t>Further,</w:t>
      </w:r>
      <w:r w:rsidR="002F2827" w:rsidRPr="00792459">
        <w:t xml:space="preserve"> </w:t>
      </w:r>
      <w:r w:rsidR="005E2066" w:rsidRPr="00792459">
        <w:t xml:space="preserve">Canadian </w:t>
      </w:r>
      <w:r w:rsidR="00F93E28" w:rsidRPr="00792459">
        <w:t>cellphone data plan</w:t>
      </w:r>
      <w:r w:rsidR="005E2066" w:rsidRPr="00792459">
        <w:t xml:space="preserve"> rates</w:t>
      </w:r>
      <w:r w:rsidR="00F93E28" w:rsidRPr="00792459">
        <w:t xml:space="preserve"> </w:t>
      </w:r>
      <w:r w:rsidR="00150C5B">
        <w:t xml:space="preserve">that </w:t>
      </w:r>
      <w:r w:rsidR="000623D7" w:rsidRPr="00792459">
        <w:t>are seven times more expensive than Australia and 25 times more than Ireland and France</w:t>
      </w:r>
      <w:r w:rsidR="00150C5B">
        <w:t>,</w:t>
      </w:r>
      <w:r w:rsidR="000623D7" w:rsidRPr="00792459">
        <w:rPr>
          <w:rStyle w:val="EndnoteReference"/>
        </w:rPr>
        <w:endnoteReference w:id="70"/>
      </w:r>
      <w:r w:rsidR="000623D7" w:rsidRPr="00792459">
        <w:t xml:space="preserve"> are described as </w:t>
      </w:r>
      <w:r w:rsidR="00E41CC3" w:rsidRPr="00792459">
        <w:t>“the highest or among the highest in the world</w:t>
      </w:r>
      <w:r w:rsidR="000623D7" w:rsidRPr="00792459">
        <w:t>.</w:t>
      </w:r>
      <w:r w:rsidR="00E41CC3" w:rsidRPr="00792459">
        <w:t>”</w:t>
      </w:r>
      <w:r w:rsidR="00CB13E3" w:rsidRPr="00792459">
        <w:rPr>
          <w:rStyle w:val="EndnoteReference"/>
        </w:rPr>
        <w:t xml:space="preserve"> </w:t>
      </w:r>
      <w:r w:rsidR="00CB13E3" w:rsidRPr="00792459">
        <w:rPr>
          <w:rStyle w:val="EndnoteReference"/>
        </w:rPr>
        <w:endnoteReference w:id="71"/>
      </w:r>
      <w:r w:rsidR="00372892" w:rsidRPr="00792459">
        <w:t xml:space="preserve"> </w:t>
      </w:r>
      <w:r w:rsidR="000623D7" w:rsidRPr="00792459">
        <w:t>This means internet access</w:t>
      </w:r>
      <w:r w:rsidR="00372892" w:rsidRPr="00792459">
        <w:t xml:space="preserve"> is out of reach for many social assistance clients. </w:t>
      </w:r>
      <w:r w:rsidR="00150C5B">
        <w:t xml:space="preserve">For example, </w:t>
      </w:r>
      <w:r w:rsidR="00792459">
        <w:lastRenderedPageBreak/>
        <w:t>22</w:t>
      </w:r>
      <w:r w:rsidR="0071701D">
        <w:t>%</w:t>
      </w:r>
      <w:r w:rsidR="00504240">
        <w:t xml:space="preserve"> </w:t>
      </w:r>
      <w:r w:rsidR="00792459">
        <w:t>of clients who use a foodbank in Toronto do not have access to internet in their homes.</w:t>
      </w:r>
      <w:r w:rsidR="00792459">
        <w:rPr>
          <w:rStyle w:val="EndnoteReference"/>
        </w:rPr>
        <w:endnoteReference w:id="72"/>
      </w:r>
      <w:r w:rsidR="00792459">
        <w:t xml:space="preserve"> </w:t>
      </w:r>
      <w:r w:rsidR="002F2827" w:rsidRPr="007E3B2E">
        <w:t xml:space="preserve">In addition, the cost of equipment </w:t>
      </w:r>
      <w:r w:rsidR="00AF1AC9" w:rsidRPr="007E3B2E">
        <w:t xml:space="preserve">such as </w:t>
      </w:r>
      <w:r w:rsidR="002F2827" w:rsidRPr="007E3B2E">
        <w:t xml:space="preserve">computers or cellphones to access digital platforms can be </w:t>
      </w:r>
      <w:r w:rsidR="00150C5B">
        <w:t>prohibitive</w:t>
      </w:r>
      <w:r w:rsidR="002F2827" w:rsidRPr="007E3B2E">
        <w:t xml:space="preserve">. </w:t>
      </w:r>
    </w:p>
    <w:p w14:paraId="092B69B2" w14:textId="77777777" w:rsidR="00554949" w:rsidRPr="002B1715" w:rsidRDefault="00554949" w:rsidP="002F2827">
      <w:pPr>
        <w:rPr>
          <w:highlight w:val="yellow"/>
        </w:rPr>
      </w:pPr>
    </w:p>
    <w:p w14:paraId="00303BC1" w14:textId="596D04EC" w:rsidR="00F00268" w:rsidRPr="00734369" w:rsidRDefault="00734369" w:rsidP="00756765">
      <w:r w:rsidRPr="00734369">
        <w:t xml:space="preserve">Libraries and drop-in centres offer limited internet usage time and </w:t>
      </w:r>
      <w:r w:rsidR="004358E0" w:rsidRPr="00734369">
        <w:t>may not allow for the privacy required while communicating with caseworkers</w:t>
      </w:r>
      <w:r w:rsidR="000A3070">
        <w:t xml:space="preserve"> or</w:t>
      </w:r>
      <w:r w:rsidR="006B395A">
        <w:t xml:space="preserve"> in a</w:t>
      </w:r>
      <w:r w:rsidR="000A3070">
        <w:t xml:space="preserve"> tribunal</w:t>
      </w:r>
      <w:r w:rsidR="006B395A">
        <w:t xml:space="preserve"> hearing</w:t>
      </w:r>
      <w:r w:rsidR="004358E0" w:rsidRPr="00734369">
        <w:t xml:space="preserve">. Some </w:t>
      </w:r>
      <w:r w:rsidR="001662AD" w:rsidRPr="00734369">
        <w:t xml:space="preserve">clients </w:t>
      </w:r>
      <w:r w:rsidR="004358E0" w:rsidRPr="00734369">
        <w:t>lack the technical literacy to use these means of communication, may have low literacy skills, or may not speak English or French and</w:t>
      </w:r>
      <w:r w:rsidR="00F53A69" w:rsidRPr="00734369">
        <w:t xml:space="preserve"> may</w:t>
      </w:r>
      <w:r w:rsidR="004358E0" w:rsidRPr="00734369">
        <w:t xml:space="preserve"> require interpretation services. </w:t>
      </w:r>
      <w:r w:rsidR="00F53A69" w:rsidRPr="00734369">
        <w:t>The emphasis on the</w:t>
      </w:r>
      <w:r w:rsidR="004358E0" w:rsidRPr="00734369">
        <w:t xml:space="preserve"> “digital first” approach that is part of modernization </w:t>
      </w:r>
      <w:r w:rsidR="00F53A69" w:rsidRPr="00734369">
        <w:t>will contribute to</w:t>
      </w:r>
      <w:r w:rsidR="004358E0" w:rsidRPr="00734369">
        <w:t xml:space="preserve"> further isolation of social assistance </w:t>
      </w:r>
      <w:r w:rsidR="00372892" w:rsidRPr="00734369">
        <w:t>clients</w:t>
      </w:r>
      <w:r w:rsidR="004358E0" w:rsidRPr="00734369">
        <w:t xml:space="preserve"> from caseworkers, particularly when assistance is required for complex cases. </w:t>
      </w:r>
      <w:r w:rsidR="00F53A69" w:rsidRPr="00734369">
        <w:t>C</w:t>
      </w:r>
      <w:r w:rsidR="001662AD" w:rsidRPr="00734369">
        <w:t xml:space="preserve">lients </w:t>
      </w:r>
      <w:r w:rsidR="00F53A69" w:rsidRPr="00734369">
        <w:t xml:space="preserve">need to receive </w:t>
      </w:r>
      <w:r w:rsidRPr="00734369">
        <w:t xml:space="preserve">monthly </w:t>
      </w:r>
      <w:r w:rsidR="00F53A69" w:rsidRPr="00734369">
        <w:t xml:space="preserve">funds to help them </w:t>
      </w:r>
      <w:r w:rsidRPr="00734369">
        <w:t>access increased</w:t>
      </w:r>
      <w:r w:rsidR="004358E0" w:rsidRPr="00734369">
        <w:t xml:space="preserve"> </w:t>
      </w:r>
      <w:r w:rsidRPr="00734369">
        <w:t>digital</w:t>
      </w:r>
      <w:r w:rsidR="004358E0" w:rsidRPr="00734369">
        <w:t xml:space="preserve"> support. This includes ensuring that </w:t>
      </w:r>
      <w:r w:rsidR="001662AD" w:rsidRPr="00734369">
        <w:t>clients</w:t>
      </w:r>
      <w:r w:rsidR="004358E0" w:rsidRPr="00734369">
        <w:t xml:space="preserve"> have access to </w:t>
      </w:r>
      <w:r w:rsidRPr="00734369">
        <w:t>i</w:t>
      </w:r>
      <w:r w:rsidR="004358E0" w:rsidRPr="00734369">
        <w:t>nternet with adequate broadband as well as technological hardware needed to be able to participate in digital and remote hearings at any tribunal.</w:t>
      </w:r>
    </w:p>
    <w:p w14:paraId="69F3CEF0" w14:textId="77777777" w:rsidR="00F00268" w:rsidRPr="002B1715" w:rsidRDefault="00F00268" w:rsidP="00756765">
      <w:pPr>
        <w:rPr>
          <w:highlight w:val="yellow"/>
        </w:rPr>
      </w:pPr>
    </w:p>
    <w:p w14:paraId="023A3862" w14:textId="012D0DB8" w:rsidR="00AC52EC" w:rsidRPr="00A623F2" w:rsidRDefault="00AC52EC" w:rsidP="00504240">
      <w:pPr>
        <w:pStyle w:val="ListParagraph"/>
        <w:contextualSpacing w:val="0"/>
        <w:rPr>
          <w:b/>
          <w:bCs/>
        </w:rPr>
      </w:pPr>
      <w:r w:rsidRPr="00A623F2">
        <w:rPr>
          <w:b/>
        </w:rPr>
        <w:t>Recommendation #</w:t>
      </w:r>
      <w:r w:rsidR="00781EE8">
        <w:rPr>
          <w:b/>
        </w:rPr>
        <w:t>3</w:t>
      </w:r>
      <w:r w:rsidRPr="00A623F2">
        <w:rPr>
          <w:b/>
        </w:rPr>
        <w:t xml:space="preserve">: </w:t>
      </w:r>
      <w:r w:rsidRPr="00A623F2">
        <w:t xml:space="preserve">Ensure the success of </w:t>
      </w:r>
      <w:r w:rsidR="00A623F2">
        <w:t xml:space="preserve">the </w:t>
      </w:r>
      <w:r w:rsidRPr="00A623F2">
        <w:t>modernization of social assistance</w:t>
      </w:r>
    </w:p>
    <w:p w14:paraId="0E91C5A5" w14:textId="77777777" w:rsidR="00AC52EC" w:rsidRPr="00A623F2" w:rsidRDefault="00AC52EC" w:rsidP="00AC52EC">
      <w:pPr>
        <w:pStyle w:val="ListParagraph"/>
        <w:contextualSpacing w:val="0"/>
        <w:rPr>
          <w:bCs/>
        </w:rPr>
      </w:pPr>
    </w:p>
    <w:p w14:paraId="4C5DBFC4" w14:textId="0E506FCC" w:rsidR="00A623F2" w:rsidRPr="00A623F2" w:rsidRDefault="00A623F2" w:rsidP="00A623F2">
      <w:pPr>
        <w:pStyle w:val="ListParagraph"/>
        <w:numPr>
          <w:ilvl w:val="0"/>
          <w:numId w:val="13"/>
        </w:numPr>
        <w:rPr>
          <w:rStyle w:val="apple-converted-space"/>
        </w:rPr>
      </w:pPr>
      <w:r w:rsidRPr="00A623F2">
        <w:rPr>
          <w:bCs/>
        </w:rPr>
        <w:t xml:space="preserve">Invest in </w:t>
      </w:r>
      <w:r w:rsidRPr="00A623F2">
        <w:rPr>
          <w:color w:val="000000"/>
        </w:rPr>
        <w:t xml:space="preserve">robust trauma-informed and client-centred wraparound services including childcare, disability, housing, literacy, mental health and addiction, settlement, translation, and transportation supports to provide life stabilization services and to address barriers to employment for those who are ready and able to work. These supports must be culturally appropriate and responsive to the needs of Indigenous, racialized, and newcomer communities and the language rights of Francophone communities. </w:t>
      </w:r>
    </w:p>
    <w:p w14:paraId="64E2B7AD" w14:textId="76DCFCAC" w:rsidR="00781EE8" w:rsidRPr="00F3317E" w:rsidRDefault="00781EE8" w:rsidP="00781EE8">
      <w:pPr>
        <w:pStyle w:val="ListParagraph"/>
        <w:numPr>
          <w:ilvl w:val="0"/>
          <w:numId w:val="13"/>
        </w:numPr>
      </w:pPr>
      <w:r w:rsidRPr="00F3317E">
        <w:rPr>
          <w:bCs/>
        </w:rPr>
        <w:t xml:space="preserve">Ensure the </w:t>
      </w:r>
      <w:r>
        <w:rPr>
          <w:bCs/>
        </w:rPr>
        <w:t>Employment Services Transformation</w:t>
      </w:r>
      <w:r w:rsidRPr="00F3317E">
        <w:rPr>
          <w:bCs/>
        </w:rPr>
        <w:t xml:space="preserve"> is evidence-based</w:t>
      </w:r>
      <w:r>
        <w:rPr>
          <w:bCs/>
        </w:rPr>
        <w:t xml:space="preserve"> and transparent, </w:t>
      </w:r>
      <w:r w:rsidRPr="00F3317E">
        <w:rPr>
          <w:bCs/>
        </w:rPr>
        <w:t xml:space="preserve">that there is sufficient </w:t>
      </w:r>
      <w:r w:rsidR="001340BB">
        <w:rPr>
          <w:bCs/>
        </w:rPr>
        <w:t>mandatory work-related</w:t>
      </w:r>
      <w:r>
        <w:rPr>
          <w:bCs/>
        </w:rPr>
        <w:t xml:space="preserve"> </w:t>
      </w:r>
      <w:r w:rsidR="001340BB">
        <w:rPr>
          <w:bCs/>
        </w:rPr>
        <w:t>benefits</w:t>
      </w:r>
      <w:r>
        <w:rPr>
          <w:bCs/>
        </w:rPr>
        <w:t xml:space="preserve"> and </w:t>
      </w:r>
      <w:r w:rsidRPr="00F3317E">
        <w:rPr>
          <w:bCs/>
        </w:rPr>
        <w:t xml:space="preserve">job training, and that jobs are long-term, stable, provide decent wages, necessary workplace accommodations, and meaningful work. </w:t>
      </w:r>
    </w:p>
    <w:p w14:paraId="591AB17D" w14:textId="76AD80F6" w:rsidR="00AC52EC" w:rsidRPr="00734369" w:rsidRDefault="00AC52EC" w:rsidP="00CD5368">
      <w:pPr>
        <w:pStyle w:val="ListParagraph"/>
        <w:numPr>
          <w:ilvl w:val="0"/>
          <w:numId w:val="13"/>
        </w:numPr>
      </w:pPr>
      <w:r w:rsidRPr="00734369">
        <w:rPr>
          <w:bCs/>
        </w:rPr>
        <w:t>Implement a new $100 per month digital access benefit for essential cellphone and</w:t>
      </w:r>
      <w:r w:rsidR="00734369" w:rsidRPr="00734369">
        <w:rPr>
          <w:bCs/>
        </w:rPr>
        <w:t xml:space="preserve"> i</w:t>
      </w:r>
      <w:r w:rsidRPr="00734369">
        <w:rPr>
          <w:bCs/>
        </w:rPr>
        <w:t>nternet services, a $200 digital access benefit every two years to pay for digital equipment and hardware, and digital literacy training that will assist with using new digital tools and platforms.</w:t>
      </w:r>
    </w:p>
    <w:p w14:paraId="6E612FDD" w14:textId="636B587A" w:rsidR="00532B49" w:rsidRDefault="00532B49" w:rsidP="00532B49"/>
    <w:p w14:paraId="5A82BFB7" w14:textId="77777777" w:rsidR="00DF5ECF" w:rsidRPr="00271D60" w:rsidRDefault="00DF5ECF" w:rsidP="005D2931">
      <w:pPr>
        <w:pStyle w:val="ListParagraph"/>
        <w:ind w:left="1080"/>
        <w:rPr>
          <w:highlight w:val="yellow"/>
        </w:rPr>
      </w:pPr>
    </w:p>
    <w:p w14:paraId="4D08E976" w14:textId="42DDEE51" w:rsidR="00AE03D8" w:rsidRPr="00EB1713" w:rsidRDefault="00AF2008" w:rsidP="00AE03D8">
      <w:pPr>
        <w:rPr>
          <w:b/>
          <w:u w:val="single"/>
        </w:rPr>
      </w:pPr>
      <w:r>
        <w:rPr>
          <w:b/>
          <w:u w:val="single"/>
        </w:rPr>
        <w:t>B</w:t>
      </w:r>
      <w:r w:rsidR="00AE03D8" w:rsidRPr="00EB1713">
        <w:rPr>
          <w:b/>
          <w:u w:val="single"/>
        </w:rPr>
        <w:t>.  Invest in Access to Justice</w:t>
      </w:r>
    </w:p>
    <w:p w14:paraId="5EC59213" w14:textId="7B43401F" w:rsidR="00AE03D8" w:rsidRPr="00271D60" w:rsidRDefault="00AE03D8" w:rsidP="00AE03D8">
      <w:pPr>
        <w:rPr>
          <w:b/>
          <w:highlight w:val="yellow"/>
        </w:rPr>
      </w:pPr>
    </w:p>
    <w:p w14:paraId="53912FC6" w14:textId="046C57C0" w:rsidR="00736FAD" w:rsidRPr="00EB115E" w:rsidRDefault="00D34771" w:rsidP="00736FAD">
      <w:pPr>
        <w:pStyle w:val="Heading1"/>
        <w:numPr>
          <w:ilvl w:val="0"/>
          <w:numId w:val="0"/>
        </w:numPr>
        <w:spacing w:after="0" w:line="240" w:lineRule="auto"/>
        <w:ind w:left="360" w:hanging="360"/>
        <w:rPr>
          <w:rFonts w:cs="Times New Roman"/>
          <w:b w:val="0"/>
          <w:bCs/>
        </w:rPr>
      </w:pPr>
      <w:r>
        <w:rPr>
          <w:rFonts w:cs="Times New Roman"/>
          <w:shd w:val="clear" w:color="auto" w:fill="FFFFFF"/>
        </w:rPr>
        <w:t>4.</w:t>
      </w:r>
      <w:r w:rsidR="00736FAD">
        <w:rPr>
          <w:rFonts w:cs="Times New Roman"/>
          <w:shd w:val="clear" w:color="auto" w:fill="FFFFFF"/>
        </w:rPr>
        <w:t xml:space="preserve"> </w:t>
      </w:r>
      <w:r w:rsidR="00736FAD">
        <w:rPr>
          <w:rFonts w:cs="Times New Roman"/>
          <w:shd w:val="clear" w:color="auto" w:fill="FFFFFF"/>
        </w:rPr>
        <w:tab/>
      </w:r>
      <w:r w:rsidR="00736FAD">
        <w:rPr>
          <w:rFonts w:cs="Times New Roman"/>
        </w:rPr>
        <w:t>Human Rights Tribunal of Ontario</w:t>
      </w:r>
      <w:r w:rsidR="00CF2ABD">
        <w:rPr>
          <w:rFonts w:cs="Times New Roman"/>
        </w:rPr>
        <w:t xml:space="preserve"> </w:t>
      </w:r>
      <w:r w:rsidR="00CF2ABD" w:rsidRPr="00EB115E">
        <w:rPr>
          <w:rFonts w:cs="Times New Roman"/>
          <w:b w:val="0"/>
          <w:bCs/>
          <w:highlight w:val="yellow"/>
        </w:rPr>
        <w:t xml:space="preserve"> </w:t>
      </w:r>
    </w:p>
    <w:p w14:paraId="03E29554" w14:textId="77777777" w:rsidR="00736FAD" w:rsidRDefault="00736FAD" w:rsidP="00736FAD">
      <w:pPr>
        <w:rPr>
          <w:b/>
        </w:rPr>
      </w:pPr>
    </w:p>
    <w:p w14:paraId="26876393" w14:textId="676C9F0B" w:rsidR="00736FAD" w:rsidRDefault="00736FAD" w:rsidP="00736FAD">
      <w:r w:rsidRPr="00A550B1">
        <w:t>The</w:t>
      </w:r>
      <w:r>
        <w:t xml:space="preserve"> Human Rights Tribunal of Ontario is an accessible forum where Ontarians can seek individual and systemic redress for discrimination and harassment. This has made the Tribunal an important forum for low-income individuals </w:t>
      </w:r>
      <w:r w:rsidR="00044C60">
        <w:t>who regularly experience discrimination</w:t>
      </w:r>
      <w:r>
        <w:t xml:space="preserve">, including those who identify as </w:t>
      </w:r>
      <w:r w:rsidR="00320D45">
        <w:t xml:space="preserve">Indigenous, </w:t>
      </w:r>
      <w:r>
        <w:t xml:space="preserve">Black, racialized, migrants, disabled, and/or </w:t>
      </w:r>
      <w:r w:rsidR="00E84E54">
        <w:t>2S</w:t>
      </w:r>
      <w:r>
        <w:t>LGBTQI</w:t>
      </w:r>
      <w:r w:rsidR="00E84E54">
        <w:t>+</w:t>
      </w:r>
      <w:r>
        <w:t xml:space="preserve">. </w:t>
      </w:r>
    </w:p>
    <w:p w14:paraId="371EFFD7" w14:textId="77777777" w:rsidR="00F53A69" w:rsidRDefault="00F53A69" w:rsidP="00736FAD"/>
    <w:p w14:paraId="4F7EF347" w14:textId="4D436D2D" w:rsidR="003D7DBB" w:rsidRPr="00A66EA8" w:rsidRDefault="00320D45" w:rsidP="00736FAD">
      <w:pPr>
        <w:rPr>
          <w:vertAlign w:val="superscript"/>
        </w:rPr>
      </w:pPr>
      <w:r>
        <w:t>Since</w:t>
      </w:r>
      <w:r w:rsidR="005E1A99">
        <w:t xml:space="preserve"> 2018, </w:t>
      </w:r>
      <w:r w:rsidR="008A7384">
        <w:t xml:space="preserve">extraordinary delays and other problems have seriously undermined </w:t>
      </w:r>
      <w:r w:rsidR="005E1A99">
        <w:t xml:space="preserve">the </w:t>
      </w:r>
      <w:r w:rsidR="008A7384">
        <w:t xml:space="preserve">protection of human rights in Ontario. The </w:t>
      </w:r>
      <w:r w:rsidR="005E1A99">
        <w:t xml:space="preserve">Tribunal </w:t>
      </w:r>
      <w:r w:rsidR="008A7384">
        <w:t xml:space="preserve">now </w:t>
      </w:r>
      <w:r w:rsidR="005E1A99">
        <w:t>has</w:t>
      </w:r>
      <w:r w:rsidR="008A7384">
        <w:t xml:space="preserve"> a backlog of over 9,000 cases with the number continuing to rise</w:t>
      </w:r>
      <w:r>
        <w:t xml:space="preserve">; </w:t>
      </w:r>
      <w:r w:rsidR="008A7384">
        <w:t>applicants can expect to wait 4 years before they get a hearing.</w:t>
      </w:r>
      <w:r w:rsidR="00734369">
        <w:rPr>
          <w:rStyle w:val="EndnoteReference"/>
        </w:rPr>
        <w:endnoteReference w:id="73"/>
      </w:r>
      <w:r w:rsidR="00734369">
        <w:t xml:space="preserve"> </w:t>
      </w:r>
      <w:r>
        <w:t>A</w:t>
      </w:r>
      <w:r w:rsidR="00E7463B">
        <w:t xml:space="preserve">ccording to </w:t>
      </w:r>
      <w:r w:rsidR="00DF1DBE">
        <w:t>the Tribunal’s</w:t>
      </w:r>
      <w:r w:rsidR="00E7463B">
        <w:t xml:space="preserve"> annual report, the number of decisions released annually has decreased significantly from 100 </w:t>
      </w:r>
      <w:r w:rsidR="00C02BD5">
        <w:t xml:space="preserve">prior to 2018, </w:t>
      </w:r>
      <w:r w:rsidR="00E7463B">
        <w:t xml:space="preserve">to </w:t>
      </w:r>
      <w:r w:rsidR="00C02BD5">
        <w:t xml:space="preserve">only </w:t>
      </w:r>
      <w:r w:rsidR="00E7463B">
        <w:t>16</w:t>
      </w:r>
      <w:r w:rsidR="00C02BD5">
        <w:t xml:space="preserve"> in </w:t>
      </w:r>
      <w:r w:rsidR="0024528D">
        <w:t>2021-2022</w:t>
      </w:r>
      <w:r w:rsidR="00734369">
        <w:t>.</w:t>
      </w:r>
      <w:r w:rsidR="00734369">
        <w:rPr>
          <w:rStyle w:val="EndnoteReference"/>
        </w:rPr>
        <w:endnoteReference w:id="74"/>
      </w:r>
      <w:r w:rsidR="00E7463B">
        <w:t xml:space="preserve"> </w:t>
      </w:r>
      <w:r w:rsidR="008A7384">
        <w:t>The backlog has been caused in part by the government’s failure to reappoint or retain experienced adjudicators who were at the Tribunal in 2018. While the Tribunal now has almost a full complement of adjudicators, most lack</w:t>
      </w:r>
      <w:r w:rsidR="0028444B">
        <w:t xml:space="preserve"> the </w:t>
      </w:r>
      <w:r w:rsidR="0028444B">
        <w:lastRenderedPageBreak/>
        <w:t>experience</w:t>
      </w:r>
      <w:r w:rsidR="008A7384">
        <w:t xml:space="preserve"> in human rights law</w:t>
      </w:r>
      <w:r>
        <w:t xml:space="preserve">, </w:t>
      </w:r>
      <w:r w:rsidR="0028444B">
        <w:t>conducting hearings</w:t>
      </w:r>
      <w:r w:rsidR="008A7384">
        <w:t xml:space="preserve"> and dispute resolution necessary to deal with cases</w:t>
      </w:r>
      <w:r>
        <w:t xml:space="preserve">; </w:t>
      </w:r>
      <w:r w:rsidR="003D7DBB">
        <w:t>many of the adjudicators are only part time or cross-appointed to other Tribunals</w:t>
      </w:r>
      <w:r w:rsidR="008A7384">
        <w:t>.</w:t>
      </w:r>
      <w:r w:rsidR="00734369">
        <w:rPr>
          <w:rStyle w:val="EndnoteReference"/>
        </w:rPr>
        <w:endnoteReference w:id="75"/>
      </w:r>
      <w:r w:rsidR="00A66EA8">
        <w:rPr>
          <w:vertAlign w:val="superscript"/>
        </w:rPr>
        <w:t>,</w:t>
      </w:r>
      <w:r w:rsidR="00A66EA8">
        <w:rPr>
          <w:rStyle w:val="EndnoteReference"/>
        </w:rPr>
        <w:endnoteReference w:id="76"/>
      </w:r>
    </w:p>
    <w:p w14:paraId="2278C932" w14:textId="77777777" w:rsidR="0028444B" w:rsidRDefault="0028444B" w:rsidP="00736FAD"/>
    <w:p w14:paraId="11828C9E" w14:textId="57FAAA52" w:rsidR="0028444B" w:rsidRDefault="0028444B" w:rsidP="00736FAD">
      <w:r>
        <w:t xml:space="preserve">The delays have serious consequences: they cause stress and anxiety for both applicants and respondents, can lead to applicants abandoning their applications, and to problems with accessing evidence necessary to prove discrimination by the time a matter gets to a hearing. </w:t>
      </w:r>
      <w:r w:rsidR="00791CB8">
        <w:t>It may also force parties at mediation to accept unfair or unreasonable settlements</w:t>
      </w:r>
      <w:r w:rsidR="00E7463B">
        <w:t xml:space="preserve"> simply because they do not wish to wait years to reach a hearing</w:t>
      </w:r>
      <w:r w:rsidR="00791CB8">
        <w:t>.</w:t>
      </w:r>
    </w:p>
    <w:p w14:paraId="5F71F67B" w14:textId="77777777" w:rsidR="003D7DBB" w:rsidRDefault="003D7DBB" w:rsidP="00736FAD"/>
    <w:p w14:paraId="10EFD23E" w14:textId="31D21300" w:rsidR="008A7384" w:rsidRDefault="0028444B" w:rsidP="00736FAD">
      <w:r>
        <w:t>Alarmingly, it seems t</w:t>
      </w:r>
      <w:r w:rsidR="003D7DBB">
        <w:t xml:space="preserve">he Tribunal’s main strategy to address </w:t>
      </w:r>
      <w:r>
        <w:t xml:space="preserve">the backlog of cases is to find new ways to dismiss them. </w:t>
      </w:r>
      <w:r w:rsidR="00E7463B">
        <w:t>Between 2009 and 2017, the Tribunal issued between 150 to 300 dismissal notices per year, but in 2021 that number jumped to 989.</w:t>
      </w:r>
      <w:r w:rsidR="00734369">
        <w:rPr>
          <w:rStyle w:val="EndnoteReference"/>
        </w:rPr>
        <w:endnoteReference w:id="77"/>
      </w:r>
      <w:r w:rsidR="00E7463B">
        <w:t xml:space="preserve"> </w:t>
      </w:r>
      <w:r>
        <w:t xml:space="preserve">The </w:t>
      </w:r>
      <w:r>
        <w:rPr>
          <w:i/>
        </w:rPr>
        <w:t xml:space="preserve">Human Rights Code </w:t>
      </w:r>
      <w:r>
        <w:t>requires that the Tribunal not dismiss cases that are within its jurisdiction without an opportunity for an oral hearing. However, as noted by Tribunal Watch Ontario, the Tribunal “has significantly narrowed the interpretation of its own jurisdiction, allowing it to dismiss hundreds of cases without giving the parties an opportunity for an oral hearing.</w:t>
      </w:r>
      <w:r w:rsidR="00734369">
        <w:t>”</w:t>
      </w:r>
      <w:r w:rsidR="00734369">
        <w:rPr>
          <w:rStyle w:val="EndnoteReference"/>
        </w:rPr>
        <w:endnoteReference w:id="78"/>
      </w:r>
      <w:r>
        <w:t xml:space="preserve"> </w:t>
      </w:r>
    </w:p>
    <w:p w14:paraId="282994CB" w14:textId="77777777" w:rsidR="00CD3CC2" w:rsidRDefault="00CD3CC2" w:rsidP="00736FAD"/>
    <w:p w14:paraId="5E3DED7C" w14:textId="3C787118" w:rsidR="00CD3CC2" w:rsidRDefault="00CD3CC2" w:rsidP="00736FAD">
      <w:r>
        <w:t xml:space="preserve">The </w:t>
      </w:r>
      <w:r>
        <w:rPr>
          <w:i/>
        </w:rPr>
        <w:t xml:space="preserve">Human Rights Code </w:t>
      </w:r>
      <w:r>
        <w:t xml:space="preserve">is quasi-constitutional legislation. </w:t>
      </w:r>
      <w:r w:rsidR="00F85830">
        <w:t>I</w:t>
      </w:r>
      <w:r>
        <w:t xml:space="preserve">ts protections are meaningless if Ontarians cannot enforce them. Employers, service and housing providers who discriminate without penalty simply because of delays and failures at the Tribunal will be incentivized to continue doing so. </w:t>
      </w:r>
    </w:p>
    <w:p w14:paraId="0B21D0B9" w14:textId="77777777" w:rsidR="00DF1DBE" w:rsidRDefault="00DF1DBE" w:rsidP="00736FAD"/>
    <w:p w14:paraId="2B50F9FD" w14:textId="739772AB" w:rsidR="00DF1DBE" w:rsidRDefault="006F2E0C" w:rsidP="00736FAD">
      <w:r>
        <w:t>ISAC endorses the</w:t>
      </w:r>
      <w:r w:rsidR="00DF1DBE">
        <w:t xml:space="preserve"> recommendations of Tribunal Watch Ontario</w:t>
      </w:r>
      <w:r w:rsidR="003554D0">
        <w:rPr>
          <w:rStyle w:val="EndnoteReference"/>
        </w:rPr>
        <w:endnoteReference w:id="79"/>
      </w:r>
      <w:r w:rsidR="003554D0">
        <w:t xml:space="preserve"> </w:t>
      </w:r>
      <w:r w:rsidR="00DF1DBE">
        <w:t>and urge</w:t>
      </w:r>
      <w:r>
        <w:t>s</w:t>
      </w:r>
      <w:r w:rsidR="00DF1DBE">
        <w:t xml:space="preserve"> Ontario to address the Tribunal’s failures on an urgent basis. In particular, Ontario should do the following:</w:t>
      </w:r>
    </w:p>
    <w:p w14:paraId="753F6C02" w14:textId="77777777" w:rsidR="00DF1DBE" w:rsidRDefault="00DF1DBE" w:rsidP="00736FAD"/>
    <w:p w14:paraId="1D1F84A9" w14:textId="57CFABA4" w:rsidR="00DF1DBE" w:rsidRDefault="00CD5368" w:rsidP="00F85830">
      <w:pPr>
        <w:pStyle w:val="ListParagraph"/>
        <w:numPr>
          <w:ilvl w:val="0"/>
          <w:numId w:val="15"/>
        </w:numPr>
      </w:pPr>
      <w:r>
        <w:t>Provide additional resources to the Tribunal. The British Columbia government did the same to prevent a backlog in its human rights system from getting worse</w:t>
      </w:r>
      <w:r w:rsidR="00BD057E">
        <w:t>.</w:t>
      </w:r>
    </w:p>
    <w:p w14:paraId="0BC5CAB9" w14:textId="54F8A092" w:rsidR="00CD5368" w:rsidRPr="00CD5368" w:rsidRDefault="00CD5368" w:rsidP="00CD5368">
      <w:pPr>
        <w:pStyle w:val="ListParagraph"/>
        <w:numPr>
          <w:ilvl w:val="0"/>
          <w:numId w:val="15"/>
        </w:numPr>
      </w:pPr>
      <w:r>
        <w:t xml:space="preserve">Appoint adjudicators with knowledge of human rights law and adjudicative and mediation experience, through a competitive process, as required by  Section 33(3) of the </w:t>
      </w:r>
      <w:r>
        <w:rPr>
          <w:i/>
        </w:rPr>
        <w:t>Human Rights Code</w:t>
      </w:r>
      <w:r w:rsidR="00BD057E">
        <w:rPr>
          <w:i/>
        </w:rPr>
        <w:t>.</w:t>
      </w:r>
    </w:p>
    <w:p w14:paraId="47F57F2C" w14:textId="47781079" w:rsidR="00CD5368" w:rsidRDefault="00CD5368" w:rsidP="00CD5368">
      <w:pPr>
        <w:pStyle w:val="ListParagraph"/>
        <w:numPr>
          <w:ilvl w:val="0"/>
          <w:numId w:val="15"/>
        </w:numPr>
      </w:pPr>
      <w:r>
        <w:t xml:space="preserve">Create a specialized team to deal with the backlog of cases. </w:t>
      </w:r>
      <w:r w:rsidR="00E8592E">
        <w:t>This approach was used in 2008 when the Tribunal inherited a backlog of cases from the Human Rights Tribunal under the previous system. It is essential that the team be comprised of individuals with demonstrated human rights and dispute resolution expertise</w:t>
      </w:r>
      <w:r w:rsidR="00BD057E">
        <w:t>.</w:t>
      </w:r>
    </w:p>
    <w:p w14:paraId="1C836530" w14:textId="47F21E74" w:rsidR="00E8592E" w:rsidRDefault="00E8592E" w:rsidP="00CD5368">
      <w:pPr>
        <w:pStyle w:val="ListParagraph"/>
        <w:numPr>
          <w:ilvl w:val="0"/>
          <w:numId w:val="15"/>
        </w:numPr>
      </w:pPr>
      <w:r>
        <w:t xml:space="preserve">Reconstitute a stakeholder advisory council. Like most other Ontario tribunals, the Tribunal previously had a standing advisory council that included leading practitioners and representatives from the Human Rights Commission and Human Rights Legal Support Centre, who provided crucial insight, information and advice to the Tribunal. New leadership at Tribunals Ontario disbanded </w:t>
      </w:r>
      <w:r w:rsidR="00BD057E">
        <w:t xml:space="preserve">the council at the HRTO. </w:t>
      </w:r>
    </w:p>
    <w:p w14:paraId="0F8272B2" w14:textId="6813695E" w:rsidR="00E8592E" w:rsidRDefault="00E8592E" w:rsidP="00CD5368">
      <w:pPr>
        <w:pStyle w:val="ListParagraph"/>
        <w:numPr>
          <w:ilvl w:val="0"/>
          <w:numId w:val="15"/>
        </w:numPr>
      </w:pPr>
      <w:r>
        <w:t xml:space="preserve">Cease widespread dismissal of applications based on supposed jurisdictional </w:t>
      </w:r>
      <w:r w:rsidR="000E6C54">
        <w:t>grounds and</w:t>
      </w:r>
      <w:r>
        <w:t xml:space="preserve"> ensure compliance with the statutory duty to provide parties with an opportunity to make oral submissions before a decision is made whether to dismiss their case</w:t>
      </w:r>
      <w:r w:rsidR="000E6C54">
        <w:t>.</w:t>
      </w:r>
    </w:p>
    <w:p w14:paraId="2423E15E" w14:textId="6E45F0BE" w:rsidR="00DF1DBE" w:rsidRDefault="00B512FA" w:rsidP="00FB6514">
      <w:pPr>
        <w:pStyle w:val="ListParagraph"/>
        <w:numPr>
          <w:ilvl w:val="0"/>
          <w:numId w:val="15"/>
        </w:numPr>
      </w:pPr>
      <w:r>
        <w:t xml:space="preserve">Engage in transparent communication. This includes reporting on key goals and outcomes to address the backlog and putting the information on </w:t>
      </w:r>
      <w:r w:rsidR="000E6C54">
        <w:t>the HRTO</w:t>
      </w:r>
      <w:r>
        <w:t xml:space="preserve"> website; proactively seeking feedback from users on their experience to guide future developments; and regularly communicating with parties who have cases pending.</w:t>
      </w:r>
    </w:p>
    <w:p w14:paraId="11131E01" w14:textId="77777777" w:rsidR="00B512FA" w:rsidRDefault="00B512FA" w:rsidP="00B512FA"/>
    <w:p w14:paraId="7B63EE16" w14:textId="55C1FC9A" w:rsidR="00E116D5" w:rsidRDefault="00711373" w:rsidP="008E45D4">
      <w:pPr>
        <w:ind w:left="360"/>
      </w:pPr>
      <w:r>
        <w:rPr>
          <w:b/>
        </w:rPr>
        <w:t>Recommendation #</w:t>
      </w:r>
      <w:r w:rsidR="00D34771">
        <w:rPr>
          <w:b/>
        </w:rPr>
        <w:t>4</w:t>
      </w:r>
      <w:r>
        <w:rPr>
          <w:b/>
        </w:rPr>
        <w:t xml:space="preserve">: </w:t>
      </w:r>
      <w:r w:rsidR="00AC52EC" w:rsidRPr="008F338B">
        <w:t>Immediately</w:t>
      </w:r>
      <w:r>
        <w:t xml:space="preserve"> address </w:t>
      </w:r>
      <w:r w:rsidR="0082109D">
        <w:t xml:space="preserve">the </w:t>
      </w:r>
      <w:r>
        <w:t xml:space="preserve">critical delays and backlog of cases at the Human Rights Tribunal by </w:t>
      </w:r>
      <w:r w:rsidR="0082109D">
        <w:t xml:space="preserve">providing additional resources to the Tribunal, appointing qualified </w:t>
      </w:r>
      <w:r w:rsidR="0082109D">
        <w:lastRenderedPageBreak/>
        <w:t>and competent adjudicators, creating a specialized team to deal with the backlog of cases, reconstituting a stakeholder advisory council</w:t>
      </w:r>
      <w:r w:rsidR="008E45D4">
        <w:t>,</w:t>
      </w:r>
      <w:r w:rsidR="0082109D">
        <w:t xml:space="preserve"> and engaging in transparent communication with the public about key goals and outcomes to address the delays. The Tribunal must immediately cease its practice of widespread dismissal of applications based on alleged jurisdictional grounds and ensure parties can make oral submissions before any decisions to dismiss a case are made. </w:t>
      </w:r>
    </w:p>
    <w:p w14:paraId="4C999DF5" w14:textId="77777777" w:rsidR="000E6C54" w:rsidRPr="00711373" w:rsidRDefault="000E6C54" w:rsidP="00711373"/>
    <w:p w14:paraId="20A4DBD5" w14:textId="292BB217" w:rsidR="008E45D4" w:rsidRPr="008E45D4" w:rsidRDefault="00AC52EC" w:rsidP="008E45D4">
      <w:pPr>
        <w:pStyle w:val="ListParagraph"/>
      </w:pPr>
      <w:r>
        <w:t xml:space="preserve"> </w:t>
      </w:r>
      <w:r w:rsidRPr="008F338B">
        <w:t xml:space="preserve"> </w:t>
      </w:r>
      <w:r w:rsidRPr="00736FAD">
        <w:rPr>
          <w:highlight w:val="yellow"/>
        </w:rPr>
        <w:t xml:space="preserve"> </w:t>
      </w:r>
    </w:p>
    <w:p w14:paraId="44757A72" w14:textId="503CB4F6" w:rsidR="00F4014D" w:rsidRPr="0036768B" w:rsidRDefault="00D34771" w:rsidP="00F4014D">
      <w:pPr>
        <w:pStyle w:val="Heading1"/>
        <w:numPr>
          <w:ilvl w:val="0"/>
          <w:numId w:val="0"/>
        </w:numPr>
        <w:spacing w:after="0" w:line="240" w:lineRule="auto"/>
        <w:rPr>
          <w:rFonts w:cs="Times New Roman"/>
        </w:rPr>
      </w:pPr>
      <w:r>
        <w:rPr>
          <w:rFonts w:cs="Times New Roman"/>
          <w:shd w:val="clear" w:color="auto" w:fill="FFFFFF"/>
        </w:rPr>
        <w:t>5</w:t>
      </w:r>
      <w:r w:rsidR="00F4014D" w:rsidRPr="0036768B">
        <w:rPr>
          <w:rFonts w:cs="Times New Roman"/>
          <w:shd w:val="clear" w:color="auto" w:fill="FFFFFF"/>
        </w:rPr>
        <w:t xml:space="preserve">.  </w:t>
      </w:r>
      <w:r w:rsidR="00F4014D" w:rsidRPr="0036768B">
        <w:rPr>
          <w:rFonts w:cs="Times New Roman"/>
        </w:rPr>
        <w:t>Legal Aid Ontario</w:t>
      </w:r>
    </w:p>
    <w:p w14:paraId="69E746A5" w14:textId="77777777" w:rsidR="00F4014D" w:rsidRPr="0036768B" w:rsidRDefault="00F4014D" w:rsidP="00F4014D"/>
    <w:p w14:paraId="688E22F9" w14:textId="77777777" w:rsidR="00F4014D" w:rsidRPr="0036768B" w:rsidRDefault="00F4014D" w:rsidP="00F4014D">
      <w:r w:rsidRPr="0036768B">
        <w:t xml:space="preserve">Ontario’s network of 72 legal clinics provides critical legal services to low-income communities in areas such as social assistance, housing, health, employment and human rights. Clinics are small, independent, non-profit agencies that are governed by community-elected boards of directors and funded by Legal Aid Ontario (LAO). </w:t>
      </w:r>
    </w:p>
    <w:p w14:paraId="2FE08E0A" w14:textId="77777777" w:rsidR="00F4014D" w:rsidRPr="0036768B" w:rsidRDefault="00F4014D" w:rsidP="00F4014D"/>
    <w:p w14:paraId="54B5D878" w14:textId="015B6F5B" w:rsidR="00F4014D" w:rsidRPr="0036768B" w:rsidRDefault="00F4014D" w:rsidP="00F4014D">
      <w:r w:rsidRPr="0036768B">
        <w:t>The combination of inadequate base funding for LAO and the impact of the COVID-19 pandemic  is threatening the sustainability of LAO and the quality and the availability of legal aid services throughout the province.</w:t>
      </w:r>
      <w:r w:rsidRPr="0036768B">
        <w:rPr>
          <w:rStyle w:val="EndnoteReference"/>
        </w:rPr>
        <w:endnoteReference w:id="80"/>
      </w:r>
      <w:r w:rsidRPr="0036768B">
        <w:t xml:space="preserve"> Legal clinics continue to struggle to provide much needed services following the $133 million in cuts in the 2019 budget.</w:t>
      </w:r>
      <w:r w:rsidRPr="0036768B">
        <w:rPr>
          <w:rStyle w:val="EndnoteReference"/>
        </w:rPr>
        <w:endnoteReference w:id="81"/>
      </w:r>
      <w:r w:rsidRPr="0036768B">
        <w:t xml:space="preserve"> Further, LAO has depended on funding from the Law Foundation of Ontario</w:t>
      </w:r>
      <w:r w:rsidR="002B3474">
        <w:t xml:space="preserve"> (LF</w:t>
      </w:r>
      <w:r w:rsidR="00540014">
        <w:t>O</w:t>
      </w:r>
      <w:r w:rsidR="002B3474">
        <w:t>)</w:t>
      </w:r>
      <w:r w:rsidRPr="0036768B">
        <w:t xml:space="preserve">. This funding, which is sourced from the interest earned in lawyers’ trust accounts is highly variable and dependant on transaction volume and interest rates. </w:t>
      </w:r>
      <w:r w:rsidR="002B3474">
        <w:t xml:space="preserve">While rising interest rates means </w:t>
      </w:r>
      <w:r w:rsidR="00540014">
        <w:t>LFO funding</w:t>
      </w:r>
      <w:r w:rsidRPr="0036768B">
        <w:t xml:space="preserve"> </w:t>
      </w:r>
      <w:r w:rsidR="002B3474">
        <w:t>that</w:t>
      </w:r>
      <w:r w:rsidRPr="0036768B">
        <w:t xml:space="preserve"> </w:t>
      </w:r>
      <w:r w:rsidR="002B3474">
        <w:t>was</w:t>
      </w:r>
      <w:r w:rsidRPr="0036768B">
        <w:t xml:space="preserve"> significantly reduced </w:t>
      </w:r>
      <w:r w:rsidR="002B3474">
        <w:t xml:space="preserve">during the pandemic has recovered, the variability of LFO funding remains </w:t>
      </w:r>
      <w:r w:rsidR="00540014">
        <w:t>an issue</w:t>
      </w:r>
      <w:r w:rsidRPr="0036768B">
        <w:t xml:space="preserve">. </w:t>
      </w:r>
      <w:r w:rsidR="00540014">
        <w:t xml:space="preserve">LAO requires a permanent minimum funding commitment by the </w:t>
      </w:r>
      <w:r w:rsidR="008E45D4">
        <w:t>Province</w:t>
      </w:r>
      <w:r w:rsidR="00540014">
        <w:t>.</w:t>
      </w:r>
    </w:p>
    <w:p w14:paraId="2DCAC47D" w14:textId="56E0C0C8" w:rsidR="00540014" w:rsidRDefault="00540014" w:rsidP="00F4014D"/>
    <w:p w14:paraId="744FEB71" w14:textId="6BBD8DD0" w:rsidR="00F4014D" w:rsidRDefault="00F4014D" w:rsidP="00F4014D">
      <w:r w:rsidRPr="0036768B">
        <w:t xml:space="preserve">Another concern is that the low income cut off for eligibility is too low. The demand for legal aid services has risen during the pandemic and legal aid clinics have been instrumental in helping people facing job loss, evictions, domestic violence and other issues. However, there are many low-income Ontarians the clinics are unable to reach because of current funding shortfalls and an income cut off for eligibility that needs to be raised. </w:t>
      </w:r>
    </w:p>
    <w:p w14:paraId="390842B7" w14:textId="77777777" w:rsidR="00F4014D" w:rsidRPr="0036768B" w:rsidRDefault="00F4014D" w:rsidP="00F4014D"/>
    <w:p w14:paraId="0CF43948" w14:textId="62EC41AA" w:rsidR="00F4014D" w:rsidRPr="0036768B" w:rsidRDefault="00F4014D" w:rsidP="00F4014D">
      <w:r w:rsidRPr="0036768B">
        <w:t>Legal representation is paramount for access to justice for low-income Ontarians. The clinics are witnessing a dramatic increase of unrepresented litigants in provincial tribunals while people try to maintain housing and secure income support. Legal representation assists with faster outcomes to free up court and justice resources for other cases. Seniors, women, children, youth, newcomers, racialized people and people with disabilities rely on legal aid services the most.</w:t>
      </w:r>
    </w:p>
    <w:p w14:paraId="1046279F" w14:textId="77777777" w:rsidR="00F4014D" w:rsidRPr="0036768B" w:rsidRDefault="00F4014D" w:rsidP="00F4014D"/>
    <w:p w14:paraId="6E6AB588" w14:textId="77777777" w:rsidR="00F4014D" w:rsidRPr="0036768B" w:rsidRDefault="00F4014D" w:rsidP="00F4014D">
      <w:pPr>
        <w:rPr>
          <w:color w:val="000000" w:themeColor="text1"/>
        </w:rPr>
      </w:pPr>
      <w:r w:rsidRPr="0036768B">
        <w:t>Investing in legal aid is fiscally prudent. A report by the Canadian Forum on Civil Justice, which comprehensively reviewed the return on investment that comes from investing in legal aid, found that each dollar invested in legal aid could multiply savings by nine dollars to $16 in other areas such as healthcare, housing and welfare programs.</w:t>
      </w:r>
      <w:r w:rsidRPr="0036768B">
        <w:rPr>
          <w:vertAlign w:val="superscript"/>
        </w:rPr>
        <w:endnoteReference w:id="82"/>
      </w:r>
      <w:r w:rsidRPr="0036768B">
        <w:t xml:space="preserve"> This will reduce future costs to the Province over time. It also leads to better individual and community well-being as low-</w:t>
      </w:r>
      <w:r w:rsidRPr="0036768B">
        <w:rPr>
          <w:color w:val="000000" w:themeColor="text1"/>
        </w:rPr>
        <w:t>income Ontarians access legal help to stay in their homes, maintain their incomes and overcome socio-economic barriers.</w:t>
      </w:r>
    </w:p>
    <w:p w14:paraId="0EC31A25" w14:textId="77777777" w:rsidR="00F4014D" w:rsidRPr="0036768B" w:rsidRDefault="00F4014D" w:rsidP="00F4014D">
      <w:pPr>
        <w:rPr>
          <w:color w:val="000000" w:themeColor="text1"/>
        </w:rPr>
      </w:pPr>
    </w:p>
    <w:p w14:paraId="6DCEBB1B" w14:textId="2ACDC35A" w:rsidR="00F4014D" w:rsidRPr="0036768B" w:rsidRDefault="00C54E6E" w:rsidP="00F4014D">
      <w:r>
        <w:t>ISAC</w:t>
      </w:r>
      <w:r w:rsidR="00F4014D" w:rsidRPr="0036768B">
        <w:t xml:space="preserve"> urge</w:t>
      </w:r>
      <w:r>
        <w:t>s</w:t>
      </w:r>
      <w:r w:rsidR="00F4014D" w:rsidRPr="0036768B">
        <w:t xml:space="preserve"> Ontario to immediately increase its LAO funding by $130 million to cover potential future shortfalls resulting from decreased </w:t>
      </w:r>
      <w:r w:rsidR="0035195F">
        <w:t>LFO</w:t>
      </w:r>
      <w:r w:rsidR="00F4014D" w:rsidRPr="0036768B">
        <w:t xml:space="preserve"> contributions and the shortfall from historic levels of funding. </w:t>
      </w:r>
      <w:r w:rsidR="00C33229">
        <w:t>ISAC</w:t>
      </w:r>
      <w:r w:rsidR="00F4014D" w:rsidRPr="0036768B">
        <w:t xml:space="preserve"> </w:t>
      </w:r>
      <w:r w:rsidR="00C33229">
        <w:t xml:space="preserve">also </w:t>
      </w:r>
      <w:r w:rsidR="00F4014D" w:rsidRPr="0036768B">
        <w:t>urge</w:t>
      </w:r>
      <w:r w:rsidR="00C33229">
        <w:t>s</w:t>
      </w:r>
      <w:r w:rsidR="00F4014D" w:rsidRPr="0036768B">
        <w:t xml:space="preserve"> the Province to work with LAO to develop a funding plan that ensures </w:t>
      </w:r>
      <w:r w:rsidR="00F4014D" w:rsidRPr="0036768B">
        <w:lastRenderedPageBreak/>
        <w:t xml:space="preserve">structural certainty. Crucial services such as those provided by LAO cannot be dependent on variable </w:t>
      </w:r>
      <w:r w:rsidR="0035195F">
        <w:t>LFO</w:t>
      </w:r>
      <w:r w:rsidR="00F4014D" w:rsidRPr="0036768B">
        <w:t xml:space="preserve"> funding.</w:t>
      </w:r>
    </w:p>
    <w:p w14:paraId="517835AA" w14:textId="77777777" w:rsidR="00F4014D" w:rsidRPr="0036768B" w:rsidRDefault="00F4014D" w:rsidP="00F4014D">
      <w:pPr>
        <w:rPr>
          <w:color w:val="000000" w:themeColor="text1"/>
        </w:rPr>
      </w:pPr>
    </w:p>
    <w:p w14:paraId="0BAFA383" w14:textId="7D11ACEF" w:rsidR="00F4014D" w:rsidRPr="0036768B" w:rsidRDefault="00F4014D" w:rsidP="00B863F9">
      <w:pPr>
        <w:ind w:left="360"/>
        <w:contextualSpacing/>
        <w:rPr>
          <w:b/>
        </w:rPr>
      </w:pPr>
      <w:r w:rsidRPr="0036768B">
        <w:rPr>
          <w:b/>
          <w:color w:val="000000" w:themeColor="text1"/>
          <w:lang w:eastAsia="en-CA"/>
        </w:rPr>
        <w:t>Recommendation #</w:t>
      </w:r>
      <w:r w:rsidR="00D34771">
        <w:rPr>
          <w:b/>
          <w:color w:val="000000" w:themeColor="text1"/>
          <w:lang w:eastAsia="en-CA"/>
        </w:rPr>
        <w:t>5</w:t>
      </w:r>
      <w:r w:rsidRPr="0036768B">
        <w:rPr>
          <w:b/>
          <w:color w:val="000000" w:themeColor="text1"/>
          <w:lang w:eastAsia="en-CA"/>
        </w:rPr>
        <w:t xml:space="preserve">: </w:t>
      </w:r>
      <w:r w:rsidRPr="0036768B">
        <w:rPr>
          <w:color w:val="000000" w:themeColor="text1"/>
          <w:lang w:eastAsia="en-CA"/>
        </w:rPr>
        <w:t>Increase Legal Aid Ontario funding by $130 million to cover future potential shortfalls and develop a longer</w:t>
      </w:r>
      <w:r w:rsidRPr="0036768B">
        <w:rPr>
          <w:lang w:eastAsia="en-CA"/>
        </w:rPr>
        <w:t>-term, and structurally stable funding plan. This will support low-income Ontarians in accessing justice throughout the province.</w:t>
      </w:r>
    </w:p>
    <w:p w14:paraId="14602EA1" w14:textId="570C724A" w:rsidR="00C33229" w:rsidRDefault="00C33229" w:rsidP="00F6736B">
      <w:pPr>
        <w:rPr>
          <w:bCs/>
        </w:rPr>
      </w:pPr>
    </w:p>
    <w:p w14:paraId="13896B0F" w14:textId="19DCE0B0" w:rsidR="00AF2008" w:rsidRDefault="00AF2008" w:rsidP="00F6736B">
      <w:pPr>
        <w:rPr>
          <w:bCs/>
        </w:rPr>
      </w:pPr>
    </w:p>
    <w:p w14:paraId="4833D56B" w14:textId="77777777" w:rsidR="00AF2008" w:rsidRDefault="00AF2008" w:rsidP="00AF2008">
      <w:pPr>
        <w:rPr>
          <w:b/>
          <w:u w:val="single"/>
        </w:rPr>
      </w:pPr>
      <w:r>
        <w:rPr>
          <w:b/>
          <w:u w:val="single"/>
        </w:rPr>
        <w:t>C</w:t>
      </w:r>
      <w:r w:rsidRPr="002451B8">
        <w:rPr>
          <w:b/>
          <w:u w:val="single"/>
        </w:rPr>
        <w:t>.</w:t>
      </w:r>
      <w:r>
        <w:rPr>
          <w:b/>
          <w:u w:val="single"/>
        </w:rPr>
        <w:t xml:space="preserve"> </w:t>
      </w:r>
      <w:r w:rsidRPr="002451B8">
        <w:rPr>
          <w:b/>
          <w:u w:val="single"/>
        </w:rPr>
        <w:t xml:space="preserve"> Invest in Justice for Workers</w:t>
      </w:r>
    </w:p>
    <w:p w14:paraId="078F352E" w14:textId="77777777" w:rsidR="00AF2008" w:rsidRDefault="00AF2008" w:rsidP="00AF2008">
      <w:pPr>
        <w:rPr>
          <w:b/>
          <w:u w:val="single"/>
        </w:rPr>
      </w:pPr>
    </w:p>
    <w:p w14:paraId="047A36B5" w14:textId="77777777" w:rsidR="00D34771" w:rsidRDefault="00D34771" w:rsidP="00D34771">
      <w:pPr>
        <w:pStyle w:val="Heading1"/>
        <w:numPr>
          <w:ilvl w:val="0"/>
          <w:numId w:val="0"/>
        </w:numPr>
        <w:spacing w:after="0" w:line="240" w:lineRule="auto"/>
        <w:rPr>
          <w:rFonts w:cs="Times New Roman"/>
        </w:rPr>
      </w:pPr>
      <w:r>
        <w:rPr>
          <w:rFonts w:cs="Times New Roman"/>
        </w:rPr>
        <w:t xml:space="preserve">6.   </w:t>
      </w:r>
      <w:r w:rsidR="00AF2008" w:rsidRPr="00F85F85">
        <w:rPr>
          <w:rFonts w:cs="Times New Roman"/>
        </w:rPr>
        <w:t xml:space="preserve">Legislate </w:t>
      </w:r>
      <w:r w:rsidR="00AF2008">
        <w:rPr>
          <w:rFonts w:cs="Times New Roman"/>
        </w:rPr>
        <w:t>10 employer-</w:t>
      </w:r>
      <w:r w:rsidR="00AF2008" w:rsidRPr="00F85F85">
        <w:rPr>
          <w:rFonts w:cs="Times New Roman"/>
        </w:rPr>
        <w:t xml:space="preserve">paid sick days and </w:t>
      </w:r>
      <w:r w:rsidR="00AF2008">
        <w:rPr>
          <w:rFonts w:cs="Times New Roman"/>
        </w:rPr>
        <w:t xml:space="preserve">14 additional paid days during public health </w:t>
      </w:r>
    </w:p>
    <w:p w14:paraId="11BF2FEA" w14:textId="1951BCE7" w:rsidR="00D34771" w:rsidRPr="00D34771" w:rsidRDefault="00D34771" w:rsidP="00D34771">
      <w:pPr>
        <w:pStyle w:val="Heading1"/>
        <w:numPr>
          <w:ilvl w:val="0"/>
          <w:numId w:val="0"/>
        </w:numPr>
        <w:spacing w:after="0" w:line="240" w:lineRule="auto"/>
        <w:rPr>
          <w:rFonts w:cs="Times New Roman"/>
        </w:rPr>
      </w:pPr>
      <w:r>
        <w:rPr>
          <w:rFonts w:cs="Times New Roman"/>
        </w:rPr>
        <w:tab/>
      </w:r>
      <w:r w:rsidR="00AF2008">
        <w:rPr>
          <w:rFonts w:cs="Times New Roman"/>
        </w:rPr>
        <w:t>outbreaks</w:t>
      </w:r>
    </w:p>
    <w:p w14:paraId="0BBBD5FD" w14:textId="77777777" w:rsidR="00AF2008" w:rsidRPr="002451B8" w:rsidRDefault="00AF2008" w:rsidP="00AF2008">
      <w:pPr>
        <w:rPr>
          <w:b/>
          <w:u w:val="single"/>
        </w:rPr>
      </w:pPr>
    </w:p>
    <w:p w14:paraId="400CF6D2" w14:textId="657802CA" w:rsidR="00AF2008" w:rsidRDefault="00AF2008" w:rsidP="00AF2008">
      <w:r>
        <w:t xml:space="preserve">Paid sick days are key to public health and saving lives. This has never been clearer than during the COVID-19 pandemic. </w:t>
      </w:r>
      <w:r w:rsidRPr="00AB65E9">
        <w:t>Despite relatively high vaccination rates in Ontario, the COVID-19 v</w:t>
      </w:r>
      <w:r>
        <w:t>irus has continued to evolve, causing new waves of infections and deaths. Over 15,000 Ontarians have died of the disease</w:t>
      </w:r>
      <w:r w:rsidR="008F547B">
        <w:t xml:space="preserve"> and </w:t>
      </w:r>
      <w:r>
        <w:t>2022 was the deadliest year of the pandemic in Ontario.</w:t>
      </w:r>
      <w:r>
        <w:rPr>
          <w:rStyle w:val="EndnoteReference"/>
        </w:rPr>
        <w:endnoteReference w:id="83"/>
      </w:r>
      <w:r>
        <w:t xml:space="preserve"> If Ontario is to contain and curb the pandemic, there must be universal, accessible and permanent employer-paid sick leave for all. </w:t>
      </w:r>
    </w:p>
    <w:p w14:paraId="4C659AB3" w14:textId="77777777" w:rsidR="00AF2008" w:rsidRDefault="00AF2008" w:rsidP="00AF2008"/>
    <w:p w14:paraId="70EC98A5" w14:textId="368ECB0D" w:rsidR="00AF2008" w:rsidRDefault="00AF2008" w:rsidP="00AF2008">
      <w:r>
        <w:t xml:space="preserve">Staying home when sick is one of the most effective containment strategies for infectious diseases. </w:t>
      </w:r>
      <w:r w:rsidR="008F547B">
        <w:t>Workers</w:t>
      </w:r>
      <w:r>
        <w:t xml:space="preserve"> without paid sick days must choose between caring for their health or earning an income to support themselves and their families. Inevitably, many will choose to go to work while sick, leading to the spread of illness, costs for businesses and the economy and avoidable health care expenditures with long-term impacts.</w:t>
      </w:r>
      <w:r w:rsidRPr="002451B8">
        <w:rPr>
          <w:vertAlign w:val="superscript"/>
        </w:rPr>
        <w:endnoteReference w:id="84"/>
      </w:r>
      <w:r>
        <w:t xml:space="preserve"> Conversely, n</w:t>
      </w:r>
      <w:r w:rsidRPr="002451B8">
        <w:t xml:space="preserve">umerous studies have shown that when workers have access to paid sick days, </w:t>
      </w:r>
      <w:r>
        <w:t xml:space="preserve">the spread of illness is contained, the workers </w:t>
      </w:r>
      <w:r w:rsidRPr="002451B8">
        <w:t>and their co-workers are more productive</w:t>
      </w:r>
      <w:r>
        <w:t>,</w:t>
      </w:r>
      <w:r w:rsidRPr="002451B8">
        <w:t xml:space="preserve"> and</w:t>
      </w:r>
      <w:r>
        <w:t xml:space="preserve"> the</w:t>
      </w:r>
      <w:r w:rsidRPr="002451B8">
        <w:t xml:space="preserve"> burden on public health resources</w:t>
      </w:r>
      <w:r>
        <w:t xml:space="preserve"> decreases.</w:t>
      </w:r>
      <w:r>
        <w:rPr>
          <w:rStyle w:val="EndnoteReference"/>
        </w:rPr>
        <w:endnoteReference w:id="85"/>
      </w:r>
      <w:r w:rsidRPr="002451B8">
        <w:rPr>
          <w:vertAlign w:val="superscript"/>
        </w:rPr>
        <w:t>,</w:t>
      </w:r>
      <w:r>
        <w:rPr>
          <w:rStyle w:val="EndnoteReference"/>
        </w:rPr>
        <w:endnoteReference w:id="86"/>
      </w:r>
      <w:r>
        <w:rPr>
          <w:vertAlign w:val="superscript"/>
        </w:rPr>
        <w:t>,</w:t>
      </w:r>
      <w:r w:rsidRPr="002451B8">
        <w:rPr>
          <w:vertAlign w:val="superscript"/>
        </w:rPr>
        <w:endnoteReference w:id="87"/>
      </w:r>
      <w:r w:rsidRPr="002451B8">
        <w:rPr>
          <w:vertAlign w:val="superscript"/>
        </w:rPr>
        <w:t>,</w:t>
      </w:r>
      <w:r w:rsidRPr="002451B8">
        <w:rPr>
          <w:vertAlign w:val="superscript"/>
        </w:rPr>
        <w:endnoteReference w:id="88"/>
      </w:r>
    </w:p>
    <w:p w14:paraId="3FA8E70E" w14:textId="77777777" w:rsidR="00AF2008" w:rsidRDefault="00AF2008" w:rsidP="00AF2008"/>
    <w:p w14:paraId="4DB4DA54" w14:textId="79ECBA4B" w:rsidR="00AF2008" w:rsidRDefault="00AF2008" w:rsidP="00AF2008">
      <w:r>
        <w:t>Paid sick days are also critical to achieving equitable protections for workers in Ontario.  Low-wage and racialized workers have been hardest hit by the pandemic. They are more likely to be engaged in the precarious work deemed “essential,” including work in grocery stores, cleaning, delivery, long term care and farm work.</w:t>
      </w:r>
      <w:r>
        <w:rPr>
          <w:rStyle w:val="EndnoteReference"/>
        </w:rPr>
        <w:endnoteReference w:id="89"/>
      </w:r>
      <w:r>
        <w:t xml:space="preserve"> These workers are at higher risk of contracting COVID-19 and yet are less likely to have paid sick days. In other words, </w:t>
      </w:r>
      <w:r w:rsidR="008F547B">
        <w:t>the</w:t>
      </w:r>
      <w:r>
        <w:t xml:space="preserve"> workers most in need of paid sick days do not have access to them. </w:t>
      </w:r>
    </w:p>
    <w:p w14:paraId="2E28A4FB" w14:textId="77777777" w:rsidR="00AF2008" w:rsidRDefault="00AF2008" w:rsidP="00AF2008"/>
    <w:p w14:paraId="684DEA34" w14:textId="77777777" w:rsidR="00AF2008" w:rsidRDefault="00AF2008" w:rsidP="00AF2008">
      <w:r>
        <w:t>It should come as no surprise, then, that low-wage and racialized individuals constitute disproportionate numbers of those who have contracted the illness.</w:t>
      </w:r>
      <w:r>
        <w:rPr>
          <w:rStyle w:val="EndnoteReference"/>
        </w:rPr>
        <w:endnoteReference w:id="90"/>
      </w:r>
      <w:r>
        <w:t xml:space="preserve"> In Ontario, despite making up only approximately 33% of the population, racialized Ontarians constituted approximately 80% of COVID cases.</w:t>
      </w:r>
      <w:r>
        <w:rPr>
          <w:rStyle w:val="EndnoteReference"/>
        </w:rPr>
        <w:endnoteReference w:id="91"/>
      </w:r>
      <w:r>
        <w:t xml:space="preserve"> The pandemic alone has not produced these inequities but has reinforced and exacerbated existing inequities among poor and racialized communities and has hit them the hardest. Not only is this unjust, but this is a threat to public health and the economy. </w:t>
      </w:r>
    </w:p>
    <w:p w14:paraId="101EAF80" w14:textId="77777777" w:rsidR="00AF2008" w:rsidRDefault="00AF2008" w:rsidP="00AF2008"/>
    <w:p w14:paraId="043F767A" w14:textId="77777777" w:rsidR="00AF2008" w:rsidRDefault="00AF2008" w:rsidP="00AF2008">
      <w:pPr>
        <w:rPr>
          <w:b/>
        </w:rPr>
      </w:pPr>
      <w:r w:rsidRPr="00F911E2">
        <w:rPr>
          <w:b/>
        </w:rPr>
        <w:t>Ontario’s Worker Income Protection Benefit program is not a</w:t>
      </w:r>
      <w:r>
        <w:rPr>
          <w:b/>
        </w:rPr>
        <w:t>n adequate</w:t>
      </w:r>
      <w:r w:rsidRPr="00F911E2">
        <w:rPr>
          <w:b/>
        </w:rPr>
        <w:t xml:space="preserve"> substitute </w:t>
      </w:r>
      <w:r>
        <w:rPr>
          <w:b/>
        </w:rPr>
        <w:t>for employer-paid sick days:</w:t>
      </w:r>
    </w:p>
    <w:p w14:paraId="11B0E9E9" w14:textId="640C3475" w:rsidR="00AF2008" w:rsidRDefault="00AF2008" w:rsidP="00AF2008">
      <w:pPr>
        <w:pStyle w:val="ListParagraph"/>
        <w:numPr>
          <w:ilvl w:val="0"/>
          <w:numId w:val="8"/>
        </w:numPr>
      </w:pPr>
      <w:r>
        <w:t>The program is limited to illness for COVID</w:t>
      </w:r>
      <w:r w:rsidR="008C3CDF">
        <w:t>-19</w:t>
      </w:r>
      <w:r>
        <w:t xml:space="preserve"> and fails to recognize that workers need sick days for other illnesses, to the benefit of both worker and employer; </w:t>
      </w:r>
    </w:p>
    <w:p w14:paraId="4B0A3CFA" w14:textId="44BBC17D" w:rsidR="00AF2008" w:rsidRDefault="00AF2008" w:rsidP="00AF2008">
      <w:pPr>
        <w:pStyle w:val="ListParagraph"/>
        <w:numPr>
          <w:ilvl w:val="0"/>
          <w:numId w:val="8"/>
        </w:numPr>
      </w:pPr>
      <w:r>
        <w:t>The program only provides for three sick days, which is not enough for workers who contract COVID</w:t>
      </w:r>
      <w:r w:rsidR="00462175">
        <w:t>-19</w:t>
      </w:r>
      <w:r>
        <w:t xml:space="preserve"> and may need to isolate for 14 days; </w:t>
      </w:r>
    </w:p>
    <w:p w14:paraId="62D21889" w14:textId="0FC2F8D7" w:rsidR="00AF2008" w:rsidRDefault="00AF2008" w:rsidP="00AF2008">
      <w:pPr>
        <w:pStyle w:val="ListParagraph"/>
        <w:numPr>
          <w:ilvl w:val="0"/>
          <w:numId w:val="8"/>
        </w:numPr>
      </w:pPr>
      <w:r>
        <w:lastRenderedPageBreak/>
        <w:t xml:space="preserve">It only covers up to $200 per day, which means workers who earn more may not be able to afford to take time off and will attend work </w:t>
      </w:r>
      <w:r w:rsidR="00462175">
        <w:t xml:space="preserve">while </w:t>
      </w:r>
      <w:r>
        <w:t xml:space="preserve">sick, likely endangering their co-workers; </w:t>
      </w:r>
    </w:p>
    <w:p w14:paraId="3104382E" w14:textId="77777777" w:rsidR="00AF2008" w:rsidRDefault="00AF2008" w:rsidP="00AF2008">
      <w:pPr>
        <w:pStyle w:val="ListParagraph"/>
        <w:numPr>
          <w:ilvl w:val="0"/>
          <w:numId w:val="8"/>
        </w:numPr>
      </w:pPr>
      <w:r>
        <w:t xml:space="preserve">Because employers are reimbursed up to $200 by the government, the program is taxpayer funded and comes out of workers’ own pockets; </w:t>
      </w:r>
    </w:p>
    <w:p w14:paraId="09EC1295" w14:textId="77777777" w:rsidR="00AF2008" w:rsidRDefault="00AF2008" w:rsidP="00AF2008">
      <w:pPr>
        <w:pStyle w:val="ListParagraph"/>
        <w:numPr>
          <w:ilvl w:val="0"/>
          <w:numId w:val="8"/>
        </w:numPr>
      </w:pPr>
      <w:r>
        <w:t>The program is only temporary; and</w:t>
      </w:r>
    </w:p>
    <w:p w14:paraId="409197C0" w14:textId="77777777" w:rsidR="00AF2008" w:rsidRDefault="00AF2008" w:rsidP="00AF2008">
      <w:pPr>
        <w:pStyle w:val="ListParagraph"/>
        <w:numPr>
          <w:ilvl w:val="0"/>
          <w:numId w:val="8"/>
        </w:numPr>
      </w:pPr>
      <w:r>
        <w:t xml:space="preserve">The repeated extension of WIPB has meant that workers have only had access to a minimum three paid sick days over a 700 day period. The WIPB must be replaced with permanent adequate employer-paid sick days.  </w:t>
      </w:r>
    </w:p>
    <w:p w14:paraId="2C776E61" w14:textId="77777777" w:rsidR="00AF2008" w:rsidRDefault="00AF2008" w:rsidP="00AF2008"/>
    <w:p w14:paraId="7CD2399B" w14:textId="77777777" w:rsidR="00AF2008" w:rsidRDefault="00AF2008" w:rsidP="00AF2008">
      <w:pPr>
        <w:rPr>
          <w:b/>
        </w:rPr>
      </w:pPr>
      <w:r>
        <w:t>Legislating employer-paid sick days is crucial to containing the pandemic and to longer term public health benefits. In order to protect the health of Ontarians, minimize health care expenditures and restore our economy, Ontario must legislate paid sick days for all.</w:t>
      </w:r>
      <w:r w:rsidRPr="00C30964">
        <w:rPr>
          <w:b/>
        </w:rPr>
        <w:t xml:space="preserve">  </w:t>
      </w:r>
    </w:p>
    <w:p w14:paraId="27F8DC42" w14:textId="77777777" w:rsidR="00AF2008" w:rsidRDefault="00AF2008" w:rsidP="00AF2008">
      <w:pPr>
        <w:rPr>
          <w:b/>
        </w:rPr>
      </w:pPr>
    </w:p>
    <w:p w14:paraId="112687A7" w14:textId="216DD4A5" w:rsidR="00AF2008" w:rsidRDefault="00AF2008" w:rsidP="00AF2008">
      <w:r w:rsidRPr="0031576C">
        <w:rPr>
          <w:b/>
        </w:rPr>
        <w:t>Recommendation #</w:t>
      </w:r>
      <w:r w:rsidR="00D34771">
        <w:rPr>
          <w:b/>
        </w:rPr>
        <w:t>6</w:t>
      </w:r>
      <w:r w:rsidRPr="0031576C">
        <w:rPr>
          <w:b/>
        </w:rPr>
        <w:t xml:space="preserve">: </w:t>
      </w:r>
      <w:r>
        <w:t xml:space="preserve">Legislate </w:t>
      </w:r>
      <w:r w:rsidRPr="000D2FE2">
        <w:t xml:space="preserve">10 Personal Emergency Leave days in the </w:t>
      </w:r>
      <w:r w:rsidRPr="0031576C">
        <w:rPr>
          <w:i/>
        </w:rPr>
        <w:t>Employment Standards Act, 2000</w:t>
      </w:r>
      <w:r>
        <w:t xml:space="preserve"> that can be used for</w:t>
      </w:r>
      <w:r w:rsidRPr="000D2FE2">
        <w:t xml:space="preserve"> </w:t>
      </w:r>
      <w:r>
        <w:t>employer-</w:t>
      </w:r>
      <w:r w:rsidRPr="000D2FE2">
        <w:t xml:space="preserve">paid sick leave. </w:t>
      </w:r>
      <w:r>
        <w:t>L</w:t>
      </w:r>
      <w:r w:rsidRPr="000D2FE2">
        <w:t xml:space="preserve">egislate an additional 14 days of </w:t>
      </w:r>
      <w:r>
        <w:t>employer-</w:t>
      </w:r>
      <w:r w:rsidRPr="000D2FE2">
        <w:t>paid sick</w:t>
      </w:r>
      <w:r>
        <w:t xml:space="preserve"> leave during declared public health outbreaks.</w:t>
      </w:r>
    </w:p>
    <w:p w14:paraId="0E2EC393" w14:textId="77777777" w:rsidR="00AF2008" w:rsidRDefault="00AF2008" w:rsidP="00AF2008">
      <w:pPr>
        <w:rPr>
          <w:shd w:val="clear" w:color="auto" w:fill="FFFFFF"/>
        </w:rPr>
      </w:pPr>
    </w:p>
    <w:p w14:paraId="331190D5" w14:textId="6FB3AB34" w:rsidR="00AF2008" w:rsidRPr="00B81D23" w:rsidRDefault="00D34771" w:rsidP="00AF2008">
      <w:pPr>
        <w:rPr>
          <w:b/>
          <w:i/>
          <w:shd w:val="clear" w:color="auto" w:fill="FFFFFF"/>
        </w:rPr>
      </w:pPr>
      <w:r>
        <w:rPr>
          <w:b/>
          <w:shd w:val="clear" w:color="auto" w:fill="FFFFFF"/>
        </w:rPr>
        <w:t>7</w:t>
      </w:r>
      <w:r w:rsidR="00AF2008" w:rsidRPr="00C01D3E">
        <w:rPr>
          <w:b/>
          <w:shd w:val="clear" w:color="auto" w:fill="FFFFFF"/>
        </w:rPr>
        <w:t>.</w:t>
      </w:r>
      <w:r w:rsidR="00AF2008">
        <w:rPr>
          <w:b/>
          <w:shd w:val="clear" w:color="auto" w:fill="FFFFFF"/>
        </w:rPr>
        <w:t xml:space="preserve">  </w:t>
      </w:r>
      <w:r w:rsidR="00AF2008" w:rsidRPr="00C01D3E">
        <w:rPr>
          <w:b/>
          <w:shd w:val="clear" w:color="auto" w:fill="FFFFFF"/>
        </w:rPr>
        <w:t xml:space="preserve">Increase the minimum wage </w:t>
      </w:r>
      <w:r w:rsidR="00AF2008">
        <w:rPr>
          <w:b/>
          <w:shd w:val="clear" w:color="auto" w:fill="FFFFFF"/>
        </w:rPr>
        <w:t xml:space="preserve">to $20 </w:t>
      </w:r>
      <w:r w:rsidR="00AF2008" w:rsidRPr="00C01D3E">
        <w:rPr>
          <w:b/>
          <w:shd w:val="clear" w:color="auto" w:fill="FFFFFF"/>
        </w:rPr>
        <w:t xml:space="preserve">and </w:t>
      </w:r>
      <w:r w:rsidR="00AF2008">
        <w:rPr>
          <w:b/>
          <w:shd w:val="clear" w:color="auto" w:fill="FFFFFF"/>
        </w:rPr>
        <w:t>reinstate</w:t>
      </w:r>
      <w:r w:rsidR="00AF2008" w:rsidRPr="00C01D3E">
        <w:rPr>
          <w:b/>
          <w:shd w:val="clear" w:color="auto" w:fill="FFFFFF"/>
        </w:rPr>
        <w:t xml:space="preserve"> “equal pay for equal work”</w:t>
      </w:r>
      <w:r w:rsidR="00AF2008">
        <w:rPr>
          <w:b/>
          <w:shd w:val="clear" w:color="auto" w:fill="FFFFFF"/>
        </w:rPr>
        <w:t xml:space="preserve"> </w:t>
      </w:r>
    </w:p>
    <w:p w14:paraId="43EDF839" w14:textId="77777777" w:rsidR="00AF2008" w:rsidRPr="00C01D3E" w:rsidRDefault="00AF2008" w:rsidP="00AF2008">
      <w:pPr>
        <w:rPr>
          <w:shd w:val="clear" w:color="auto" w:fill="FFFFFF"/>
        </w:rPr>
      </w:pPr>
    </w:p>
    <w:p w14:paraId="1B586911" w14:textId="0F776229" w:rsidR="00AF2008" w:rsidRDefault="00AF2008" w:rsidP="00AF2008">
      <w:pPr>
        <w:rPr>
          <w:shd w:val="clear" w:color="auto" w:fill="FFFFFF"/>
        </w:rPr>
      </w:pPr>
      <w:r w:rsidRPr="00DA797F">
        <w:rPr>
          <w:b/>
          <w:iCs/>
          <w:shd w:val="clear" w:color="auto" w:fill="FFFFFF"/>
        </w:rPr>
        <w:t>Increase the minimum wage.</w:t>
      </w:r>
      <w:r>
        <w:rPr>
          <w:b/>
          <w:i/>
          <w:shd w:val="clear" w:color="auto" w:fill="FFFFFF"/>
        </w:rPr>
        <w:t xml:space="preserve"> </w:t>
      </w:r>
      <w:r>
        <w:rPr>
          <w:shd w:val="clear" w:color="auto" w:fill="FFFFFF"/>
        </w:rPr>
        <w:t>The increase in Ontario’s minimum wage to $15 on January 1, 2022 was a welcome improvement for workers struggling to get by during the pandemic. It showed that in the context of the pandemic simply raising the minimum wage through an annualized indexation to the Consumer Price Index</w:t>
      </w:r>
      <w:r w:rsidR="004A10A6">
        <w:rPr>
          <w:shd w:val="clear" w:color="auto" w:fill="FFFFFF"/>
        </w:rPr>
        <w:t xml:space="preserve"> (CPI)</w:t>
      </w:r>
      <w:r>
        <w:rPr>
          <w:shd w:val="clear" w:color="auto" w:fill="FFFFFF"/>
        </w:rPr>
        <w:t xml:space="preserve"> is not enough. The current minimum wage is $15.50 an hour and it is set to rise to roughly $16 an hour on October 1, 2023. However, $16 an hour is not enough. When the pr</w:t>
      </w:r>
      <w:r w:rsidRPr="006B2442">
        <w:rPr>
          <w:shd w:val="clear" w:color="auto" w:fill="FFFFFF"/>
        </w:rPr>
        <w:t>ovincial government cancelled the planned raise to the minimum wage in 2018, it also froze the wage for the following two years. The cancellation and subsequent freeze imposed a real dollar wage cut on the province’s lowest paid workers because the cost of living increases each year.</w:t>
      </w:r>
    </w:p>
    <w:p w14:paraId="29C37A28" w14:textId="77777777" w:rsidR="00AF2008" w:rsidRDefault="00AF2008" w:rsidP="00AF2008">
      <w:pPr>
        <w:rPr>
          <w:shd w:val="clear" w:color="auto" w:fill="FFFFFF"/>
        </w:rPr>
      </w:pPr>
    </w:p>
    <w:p w14:paraId="4B322739" w14:textId="4598898A" w:rsidR="00AF2008" w:rsidRDefault="00AF2008" w:rsidP="00AF2008">
      <w:pPr>
        <w:rPr>
          <w:shd w:val="clear" w:color="auto" w:fill="FFFFFF"/>
        </w:rPr>
      </w:pPr>
      <w:r>
        <w:rPr>
          <w:shd w:val="clear" w:color="auto" w:fill="FFFFFF"/>
        </w:rPr>
        <w:t>As a result, workers’ wages have fallen behind. At the same time, the cost of basic household goods, transportation, and other essential goods and services has risen significantly as a consequence of the pandemic. Year over year inflation averaged 6.8% in 2022.</w:t>
      </w:r>
      <w:r>
        <w:rPr>
          <w:rStyle w:val="EndnoteReference"/>
          <w:shd w:val="clear" w:color="auto" w:fill="FFFFFF"/>
        </w:rPr>
        <w:endnoteReference w:id="92"/>
      </w:r>
      <w:r>
        <w:rPr>
          <w:shd w:val="clear" w:color="auto" w:fill="FFFFFF"/>
        </w:rPr>
        <w:t xml:space="preserve"> A study of rental rates of 100 towns and cities across Ontario found that </w:t>
      </w:r>
      <w:r w:rsidRPr="00DA1BFF">
        <w:rPr>
          <w:shd w:val="clear" w:color="auto" w:fill="FFFFFF"/>
        </w:rPr>
        <w:t>a one-bedroom apartment is unaffordable for a full-time, minimum wage worker in 98 out of 100 communities.</w:t>
      </w:r>
      <w:r>
        <w:rPr>
          <w:rStyle w:val="EndnoteReference"/>
          <w:shd w:val="clear" w:color="auto" w:fill="FFFFFF"/>
        </w:rPr>
        <w:endnoteReference w:id="93"/>
      </w:r>
      <w:r>
        <w:rPr>
          <w:shd w:val="clear" w:color="auto" w:fill="FFFFFF"/>
        </w:rPr>
        <w:t xml:space="preserve"> In short, the current minimum wage has left vulnerable and essential workers struggling to get by at a time when they need income security the most, and has particularly hurt equity-seeking groups including persons with disabilities and racialized and Indigenous communities. As workers struggle to make ends meet, the richest in Ontario have gained the most. A new report shows that Canadian billionaires saw their wealth jump by 51% over the course of the pandemic.</w:t>
      </w:r>
      <w:r>
        <w:rPr>
          <w:rStyle w:val="EndnoteReference"/>
          <w:shd w:val="clear" w:color="auto" w:fill="FFFFFF"/>
        </w:rPr>
        <w:endnoteReference w:id="94"/>
      </w:r>
      <w:r>
        <w:rPr>
          <w:shd w:val="clear" w:color="auto" w:fill="FFFFFF"/>
        </w:rPr>
        <w:t xml:space="preserve">  </w:t>
      </w:r>
    </w:p>
    <w:p w14:paraId="5E17959D" w14:textId="77777777" w:rsidR="00AF2008" w:rsidRDefault="00AF2008" w:rsidP="00AF2008">
      <w:pPr>
        <w:rPr>
          <w:shd w:val="clear" w:color="auto" w:fill="FFFFFF"/>
        </w:rPr>
      </w:pPr>
    </w:p>
    <w:p w14:paraId="49D3950E" w14:textId="77777777" w:rsidR="00AF2008" w:rsidRDefault="00AF2008" w:rsidP="00AF2008">
      <w:pPr>
        <w:rPr>
          <w:shd w:val="clear" w:color="auto" w:fill="FFFFFF"/>
        </w:rPr>
      </w:pPr>
      <w:r w:rsidRPr="000C3511">
        <w:rPr>
          <w:b/>
          <w:shd w:val="clear" w:color="auto" w:fill="FFFFFF"/>
        </w:rPr>
        <w:t>Raising the minimum wage is good for the economy.</w:t>
      </w:r>
      <w:r w:rsidRPr="00BC31AD">
        <w:rPr>
          <w:shd w:val="clear" w:color="auto" w:fill="FFFFFF"/>
        </w:rPr>
        <w:t xml:space="preserve"> After the minimum wage increased by 21% from $11.65 to $14 in 2018, Ontario’s unemployment rate dropped to the lowest level since 2000; the province saw the creation of 78,000 full time jobs that year;</w:t>
      </w:r>
      <w:r>
        <w:rPr>
          <w:rStyle w:val="EndnoteReference"/>
          <w:shd w:val="clear" w:color="auto" w:fill="FFFFFF"/>
        </w:rPr>
        <w:endnoteReference w:id="95"/>
      </w:r>
      <w:r w:rsidRPr="00BC31AD">
        <w:rPr>
          <w:shd w:val="clear" w:color="auto" w:fill="FFFFFF"/>
        </w:rPr>
        <w:t xml:space="preserve"> and, job and wage growth outstripped the rest of Canada in low-wage sectors s</w:t>
      </w:r>
      <w:r>
        <w:rPr>
          <w:shd w:val="clear" w:color="auto" w:fill="FFFFFF"/>
        </w:rPr>
        <w:t xml:space="preserve">uch as food and accommodation. </w:t>
      </w:r>
    </w:p>
    <w:p w14:paraId="550A1EF0" w14:textId="77777777" w:rsidR="00AF2008" w:rsidRDefault="00AF2008" w:rsidP="00AF2008">
      <w:pPr>
        <w:rPr>
          <w:shd w:val="clear" w:color="auto" w:fill="FFFFFF"/>
        </w:rPr>
      </w:pPr>
    </w:p>
    <w:p w14:paraId="0051C9C3" w14:textId="344C3A0E" w:rsidR="00AF2008" w:rsidRDefault="00AF2008" w:rsidP="00AF2008">
      <w:pPr>
        <w:rPr>
          <w:shd w:val="clear" w:color="auto" w:fill="FFFFFF"/>
        </w:rPr>
      </w:pPr>
      <w:r>
        <w:rPr>
          <w:shd w:val="clear" w:color="auto" w:fill="FFFFFF"/>
        </w:rPr>
        <w:t xml:space="preserve">Increases in the minimum wage also encourages consumer spending and boosts local businesses that are much needed in this post pandemic. Household spending </w:t>
      </w:r>
      <w:r w:rsidRPr="00113846">
        <w:rPr>
          <w:shd w:val="clear" w:color="auto" w:fill="FFFFFF"/>
        </w:rPr>
        <w:t>constitutes nearly 60%</w:t>
      </w:r>
      <w:r>
        <w:rPr>
          <w:shd w:val="clear" w:color="auto" w:fill="FFFFFF"/>
        </w:rPr>
        <w:t xml:space="preserve"> of Canada’s gross domestic product.</w:t>
      </w:r>
      <w:r>
        <w:rPr>
          <w:rStyle w:val="EndnoteReference"/>
          <w:shd w:val="clear" w:color="auto" w:fill="FFFFFF"/>
        </w:rPr>
        <w:endnoteReference w:id="96"/>
      </w:r>
      <w:r>
        <w:rPr>
          <w:shd w:val="clear" w:color="auto" w:fill="FFFFFF"/>
        </w:rPr>
        <w:t xml:space="preserve"> Low-income households in particular spend increased wages on essential goods and services</w:t>
      </w:r>
      <w:r w:rsidR="001A5AA7">
        <w:rPr>
          <w:shd w:val="clear" w:color="auto" w:fill="FFFFFF"/>
        </w:rPr>
        <w:t>,</w:t>
      </w:r>
      <w:r>
        <w:rPr>
          <w:shd w:val="clear" w:color="auto" w:fill="FFFFFF"/>
        </w:rPr>
        <w:t xml:space="preserve"> and on their families. This puts money back into local economies and </w:t>
      </w:r>
      <w:r>
        <w:rPr>
          <w:shd w:val="clear" w:color="auto" w:fill="FFFFFF"/>
        </w:rPr>
        <w:lastRenderedPageBreak/>
        <w:t>would support businesses that have been hurt by the pandemic. By way of contrast, tax breaks for the wealthiest do not have the same benefit, as they tend to save more and spend a smaller percentage of their income.</w:t>
      </w:r>
    </w:p>
    <w:p w14:paraId="5CB5F8E2" w14:textId="77777777" w:rsidR="00AF2008" w:rsidRDefault="00AF2008" w:rsidP="00AF2008">
      <w:pPr>
        <w:rPr>
          <w:shd w:val="clear" w:color="auto" w:fill="FFFFFF"/>
        </w:rPr>
      </w:pPr>
    </w:p>
    <w:p w14:paraId="4C19D509" w14:textId="7C9392BE" w:rsidR="00AF2008" w:rsidRPr="00C01D3E" w:rsidRDefault="00AF2008" w:rsidP="00AF2008">
      <w:pPr>
        <w:rPr>
          <w:shd w:val="clear" w:color="auto" w:fill="FFFFFF"/>
        </w:rPr>
      </w:pPr>
      <w:r>
        <w:rPr>
          <w:shd w:val="clear" w:color="auto" w:fill="FFFFFF"/>
        </w:rPr>
        <w:t>Legislating a $20</w:t>
      </w:r>
      <w:r w:rsidRPr="00C01D3E">
        <w:rPr>
          <w:shd w:val="clear" w:color="auto" w:fill="FFFFFF"/>
        </w:rPr>
        <w:t xml:space="preserve"> minimum wage with annual adjustment in line with increases in the </w:t>
      </w:r>
      <w:r w:rsidR="004A10A6">
        <w:rPr>
          <w:shd w:val="clear" w:color="auto" w:fill="FFFFFF"/>
        </w:rPr>
        <w:t xml:space="preserve">CPI </w:t>
      </w:r>
      <w:r w:rsidRPr="00C01D3E">
        <w:rPr>
          <w:shd w:val="clear" w:color="auto" w:fill="FFFFFF"/>
        </w:rPr>
        <w:t xml:space="preserve">is the best strategy for reducing poverty and boosting the economy, both during the pandemic and beyond. </w:t>
      </w:r>
    </w:p>
    <w:p w14:paraId="160EA7D1" w14:textId="77777777" w:rsidR="00AF2008" w:rsidRPr="005C7BC0" w:rsidRDefault="00AF2008" w:rsidP="00AF2008">
      <w:pPr>
        <w:rPr>
          <w:iCs/>
          <w:shd w:val="clear" w:color="auto" w:fill="FFFFFF"/>
        </w:rPr>
      </w:pPr>
    </w:p>
    <w:p w14:paraId="4B48C5D5" w14:textId="64F23318" w:rsidR="00AF2008" w:rsidRPr="00C01D3E" w:rsidRDefault="00AF2008" w:rsidP="00AF2008">
      <w:pPr>
        <w:rPr>
          <w:shd w:val="clear" w:color="auto" w:fill="FFFFFF"/>
        </w:rPr>
      </w:pPr>
      <w:r w:rsidRPr="005C7BC0">
        <w:rPr>
          <w:b/>
          <w:iCs/>
          <w:shd w:val="clear" w:color="auto" w:fill="FFFFFF"/>
        </w:rPr>
        <w:t>Reinstate equal pay for equal work.</w:t>
      </w:r>
      <w:r>
        <w:rPr>
          <w:b/>
          <w:i/>
          <w:shd w:val="clear" w:color="auto" w:fill="FFFFFF"/>
        </w:rPr>
        <w:t xml:space="preserve"> </w:t>
      </w:r>
      <w:r w:rsidRPr="00C01D3E">
        <w:rPr>
          <w:shd w:val="clear" w:color="auto" w:fill="FFFFFF"/>
        </w:rPr>
        <w:t xml:space="preserve">Workers who are doing similar work should be paid the same. Under the current </w:t>
      </w:r>
      <w:r w:rsidRPr="00C01D3E">
        <w:rPr>
          <w:i/>
          <w:shd w:val="clear" w:color="auto" w:fill="FFFFFF"/>
        </w:rPr>
        <w:t>Employment Standards Act, 2000</w:t>
      </w:r>
      <w:r w:rsidRPr="00C01D3E">
        <w:rPr>
          <w:shd w:val="clear" w:color="auto" w:fill="FFFFFF"/>
        </w:rPr>
        <w:t xml:space="preserve"> </w:t>
      </w:r>
      <w:r>
        <w:rPr>
          <w:shd w:val="clear" w:color="auto" w:fill="FFFFFF"/>
        </w:rPr>
        <w:t xml:space="preserve">(ESA) </w:t>
      </w:r>
      <w:r w:rsidRPr="00C01D3E">
        <w:rPr>
          <w:shd w:val="clear" w:color="auto" w:fill="FFFFFF"/>
        </w:rPr>
        <w:t xml:space="preserve">employers are entitled to pay temp agency workers, contract and part-time workers at different rates compared to full-time permanent workers doing similar jobs. Differential pay on the basis of employment status is an arbitrary and unjustified distinction affecting more than one in five employees in Ontario. The failure to ensure “equal pay for equal work” puts less money in the pockets of Ontarians to reinvest into the economy, and disproportionately affects women, recent immigrants, young and older workers </w:t>
      </w:r>
      <w:r w:rsidR="004858F6">
        <w:rPr>
          <w:shd w:val="clear" w:color="auto" w:fill="FFFFFF"/>
        </w:rPr>
        <w:t xml:space="preserve"> people with disabilities, </w:t>
      </w:r>
      <w:r w:rsidRPr="00C01D3E">
        <w:rPr>
          <w:shd w:val="clear" w:color="auto" w:fill="FFFFFF"/>
        </w:rPr>
        <w:t xml:space="preserve">and racialized workers.  </w:t>
      </w:r>
    </w:p>
    <w:p w14:paraId="41DA4C1A" w14:textId="77777777" w:rsidR="00AF2008" w:rsidRPr="00C01D3E" w:rsidRDefault="00AF2008" w:rsidP="00AF2008">
      <w:pPr>
        <w:rPr>
          <w:shd w:val="clear" w:color="auto" w:fill="FFFFFF"/>
        </w:rPr>
      </w:pPr>
    </w:p>
    <w:p w14:paraId="6EA66579" w14:textId="77777777" w:rsidR="00AF2008" w:rsidRPr="00C01D3E" w:rsidRDefault="00AF2008" w:rsidP="00AF2008">
      <w:pPr>
        <w:rPr>
          <w:shd w:val="clear" w:color="auto" w:fill="FFFFFF"/>
        </w:rPr>
      </w:pPr>
      <w:r w:rsidRPr="00C01D3E">
        <w:rPr>
          <w:shd w:val="clear" w:color="auto" w:fill="FFFFFF"/>
        </w:rPr>
        <w:t>Conversely, implementing “equal pay for equal work” would not only help to address those inequities, but would also enhance key health protections in essential work as well. For example, low-paid, part-time and insecure work in care homes has long forced many care workers to work at multiple homes. During the COVID-19 pandemic, this has contributed to the spread of the virus among staff and patients alike, with tragic consequences in some cases. Requiring “equal pay for equal work” would lower the economic incentive for employers to use part</w:t>
      </w:r>
      <w:r>
        <w:rPr>
          <w:shd w:val="clear" w:color="auto" w:fill="FFFFFF"/>
        </w:rPr>
        <w:t>-</w:t>
      </w:r>
      <w:r w:rsidRPr="00C01D3E">
        <w:rPr>
          <w:shd w:val="clear" w:color="auto" w:fill="FFFFFF"/>
        </w:rPr>
        <w:t xml:space="preserve">time and casual jobs and increase incentives for permanent full-time work. </w:t>
      </w:r>
    </w:p>
    <w:p w14:paraId="008FBF9B" w14:textId="77777777" w:rsidR="00AF2008" w:rsidRPr="00C01D3E" w:rsidRDefault="00AF2008" w:rsidP="00AF2008">
      <w:pPr>
        <w:rPr>
          <w:shd w:val="clear" w:color="auto" w:fill="FFFFFF"/>
        </w:rPr>
      </w:pPr>
    </w:p>
    <w:p w14:paraId="25B65F79" w14:textId="54BD2432" w:rsidR="00AF2008" w:rsidRDefault="00AF2008" w:rsidP="00AF2008">
      <w:pPr>
        <w:contextualSpacing/>
      </w:pPr>
      <w:r w:rsidRPr="00596F97">
        <w:rPr>
          <w:b/>
          <w:shd w:val="clear" w:color="auto" w:fill="FFFFFF"/>
        </w:rPr>
        <w:t>Recommendation #</w:t>
      </w:r>
      <w:r w:rsidR="00D34771">
        <w:rPr>
          <w:b/>
          <w:shd w:val="clear" w:color="auto" w:fill="FFFFFF"/>
        </w:rPr>
        <w:t>7</w:t>
      </w:r>
      <w:r w:rsidRPr="00596F97">
        <w:rPr>
          <w:b/>
          <w:shd w:val="clear" w:color="auto" w:fill="FFFFFF"/>
        </w:rPr>
        <w:t>:</w:t>
      </w:r>
      <w:r w:rsidRPr="00F90718">
        <w:rPr>
          <w:shd w:val="clear" w:color="auto" w:fill="FFFFFF"/>
        </w:rPr>
        <w:t xml:space="preserve"> </w:t>
      </w:r>
      <w:r w:rsidRPr="00EB1713">
        <w:rPr>
          <w:shd w:val="clear" w:color="auto" w:fill="FFFFFF"/>
        </w:rPr>
        <w:t>Immediately increase the minimum wage</w:t>
      </w:r>
      <w:r>
        <w:rPr>
          <w:shd w:val="clear" w:color="auto" w:fill="FFFFFF"/>
        </w:rPr>
        <w:t xml:space="preserve"> to $20 per hour</w:t>
      </w:r>
      <w:r w:rsidRPr="00EB1713">
        <w:rPr>
          <w:shd w:val="clear" w:color="auto" w:fill="FFFFFF"/>
        </w:rPr>
        <w:t xml:space="preserve"> and implement laws to ensure that workers who do similar work receive equal pay</w:t>
      </w:r>
      <w:r>
        <w:rPr>
          <w:shd w:val="clear" w:color="auto" w:fill="FFFFFF"/>
        </w:rPr>
        <w:t>.</w:t>
      </w:r>
    </w:p>
    <w:p w14:paraId="60796758" w14:textId="77777777" w:rsidR="00AF2008" w:rsidRDefault="00AF2008" w:rsidP="00AF2008">
      <w:pPr>
        <w:contextualSpacing/>
      </w:pPr>
    </w:p>
    <w:p w14:paraId="2C7E7DC3" w14:textId="2A006D3E" w:rsidR="00AF2008" w:rsidRPr="00113846" w:rsidRDefault="00D34771" w:rsidP="00AF2008">
      <w:pPr>
        <w:contextualSpacing/>
        <w:rPr>
          <w:b/>
        </w:rPr>
      </w:pPr>
      <w:r>
        <w:rPr>
          <w:b/>
        </w:rPr>
        <w:t>8</w:t>
      </w:r>
      <w:r w:rsidR="00AF2008" w:rsidRPr="00113846">
        <w:rPr>
          <w:b/>
        </w:rPr>
        <w:t xml:space="preserve">. </w:t>
      </w:r>
      <w:r w:rsidR="00AF2008">
        <w:rPr>
          <w:b/>
        </w:rPr>
        <w:t xml:space="preserve"> </w:t>
      </w:r>
      <w:r w:rsidR="00AF2008" w:rsidRPr="00113846">
        <w:rPr>
          <w:b/>
        </w:rPr>
        <w:t>End misclassification and support</w:t>
      </w:r>
      <w:r w:rsidR="00AF2008">
        <w:rPr>
          <w:b/>
        </w:rPr>
        <w:t xml:space="preserve"> app-based gig w</w:t>
      </w:r>
      <w:r w:rsidR="00AF2008" w:rsidRPr="00113846">
        <w:rPr>
          <w:b/>
        </w:rPr>
        <w:t>orkers</w:t>
      </w:r>
    </w:p>
    <w:p w14:paraId="0BAB7B75" w14:textId="77777777" w:rsidR="00AF2008" w:rsidRDefault="00AF2008" w:rsidP="00AF2008">
      <w:pPr>
        <w:tabs>
          <w:tab w:val="left" w:pos="3700"/>
        </w:tabs>
        <w:contextualSpacing/>
      </w:pPr>
      <w:r>
        <w:tab/>
      </w:r>
    </w:p>
    <w:p w14:paraId="4CABF445" w14:textId="52156594" w:rsidR="00AF2008" w:rsidRDefault="00AF2008" w:rsidP="00AF2008">
      <w:r>
        <w:t>Throughout the pandemic</w:t>
      </w:r>
      <w:r w:rsidR="004D2BD0">
        <w:t>,</w:t>
      </w:r>
      <w:r>
        <w:t xml:space="preserve"> frontline workers have provided vital services to our communities, such as grocery shopping, transportation, food delivery, and cleaning. Unfortunately, many of these workers whose labour </w:t>
      </w:r>
      <w:r w:rsidR="004D2BD0">
        <w:t xml:space="preserve">we </w:t>
      </w:r>
      <w:r>
        <w:t>collectively rely upon</w:t>
      </w:r>
      <w:r w:rsidR="004D2BD0">
        <w:t>,</w:t>
      </w:r>
      <w:r>
        <w:t xml:space="preserve"> are misclassified as independent contractors. As a result, they are denied many of the basic protections afforded to employees under the </w:t>
      </w:r>
      <w:r w:rsidRPr="00A210ED">
        <w:rPr>
          <w:iCs/>
        </w:rPr>
        <w:t>ESA</w:t>
      </w:r>
      <w:r>
        <w:t xml:space="preserve"> </w:t>
      </w:r>
      <w:r w:rsidRPr="00AD35D7">
        <w:rPr>
          <w:i/>
        </w:rPr>
        <w:t>Employment Insurance Act</w:t>
      </w:r>
      <w:r>
        <w:t xml:space="preserve">, </w:t>
      </w:r>
      <w:r w:rsidRPr="00AD35D7">
        <w:rPr>
          <w:i/>
        </w:rPr>
        <w:t>Canada Pension Plan</w:t>
      </w:r>
      <w:r>
        <w:t>, and other protective legislation.</w:t>
      </w:r>
    </w:p>
    <w:p w14:paraId="7BC6E0D1" w14:textId="77777777" w:rsidR="00AF2008" w:rsidRDefault="00AF2008" w:rsidP="00AF2008"/>
    <w:p w14:paraId="17ABA565" w14:textId="77777777" w:rsidR="00AF2008" w:rsidRDefault="00AF2008" w:rsidP="00AF2008">
      <w:r>
        <w:t>When workers are misclassified as independent contractors, it makes their working conditions more precarious. For instance, app-based gig workers who are sick or experiencing COVID-19 symptoms do not have access to paid sick days. They cannot stay home, get tested for COVID-19, or self-isolate without risking their pay. The Ontario government’s Worker Income Protection Benefit, which introduced limited paid sick days for Ontarians, did not cover app-based gig workers and other misclassified workers.</w:t>
      </w:r>
      <w:r>
        <w:rPr>
          <w:rStyle w:val="EndnoteReference"/>
        </w:rPr>
        <w:endnoteReference w:id="97"/>
      </w:r>
    </w:p>
    <w:p w14:paraId="2EF4C3B9" w14:textId="77777777" w:rsidR="00AF2008" w:rsidRDefault="00AF2008" w:rsidP="00AF2008"/>
    <w:p w14:paraId="0A7DA5AB" w14:textId="3C0A8BBD" w:rsidR="00AF2008" w:rsidRDefault="00AF2008" w:rsidP="00AF2008">
      <w:pPr>
        <w:contextualSpacing/>
      </w:pPr>
      <w:r>
        <w:t>When misclassified workers lose their jobs through no fault of their own, as when Foodora left Canada in April 2020, they have no access to statutory termination and severance payments to tide them over while they search for new employment.</w:t>
      </w:r>
      <w:r>
        <w:rPr>
          <w:rStyle w:val="EndnoteReference"/>
        </w:rPr>
        <w:endnoteReference w:id="98"/>
      </w:r>
      <w:r>
        <w:t xml:space="preserve"> Misclassified workers are also unable to access basic protections in the ESA, such as overtime and vacation pay, and job-protected leaves such as parental leave. This creates conditions for employers to exploit vulnerable workers in precarious work, and disincentivizes them from complying with basic workplace standards.</w:t>
      </w:r>
    </w:p>
    <w:p w14:paraId="11494E31" w14:textId="22F6B565" w:rsidR="00AF2008" w:rsidRDefault="00AF2008" w:rsidP="00AF2008">
      <w:pPr>
        <w:contextualSpacing/>
      </w:pPr>
      <w:r>
        <w:lastRenderedPageBreak/>
        <w:t xml:space="preserve">The </w:t>
      </w:r>
      <w:r w:rsidRPr="00DF48A9">
        <w:rPr>
          <w:i/>
        </w:rPr>
        <w:t>Working for Workers Act, 202</w:t>
      </w:r>
      <w:r>
        <w:rPr>
          <w:i/>
        </w:rPr>
        <w:t>1</w:t>
      </w:r>
      <w:r w:rsidRPr="00DF48A9">
        <w:rPr>
          <w:i/>
        </w:rPr>
        <w:t xml:space="preserve"> </w:t>
      </w:r>
      <w:r>
        <w:t xml:space="preserve">brought in a minimum wage for app-based gig workers. However, this legislation is only for engaged time which leaves too much discretion in deciding hours of work in the employers’ hands. The legislation failed to provide most other basic protections and benefits </w:t>
      </w:r>
      <w:r w:rsidR="00A14B40">
        <w:t>to which</w:t>
      </w:r>
      <w:r>
        <w:t xml:space="preserve"> other workers are entitled. While there is some belief that a new portable benefits program could help fill the gaps for app-based gig workers, the reality is this will fall short of standard benefits and protections these workers should be entitled to under the ESA.   </w:t>
      </w:r>
    </w:p>
    <w:p w14:paraId="444962B3" w14:textId="77777777" w:rsidR="00AF2008" w:rsidRDefault="00AF2008" w:rsidP="00AF2008"/>
    <w:p w14:paraId="4E5C5002" w14:textId="77777777" w:rsidR="00AF2008" w:rsidRDefault="00AF2008" w:rsidP="00AF2008">
      <w:r>
        <w:t>Workers in Ontario including app-based gig workers deserve full employment rights with no carve-outs</w:t>
      </w:r>
      <w:r>
        <w:rPr>
          <w:rStyle w:val="EndnoteReference"/>
        </w:rPr>
        <w:endnoteReference w:id="99"/>
      </w:r>
      <w:r>
        <w:t xml:space="preserve"> from minimum wage, sick leave, vacation and public holiday pay, rest periods, pregnancy and parental leave, and the other basic workplace protections available to employees under the ESA.</w:t>
      </w:r>
    </w:p>
    <w:p w14:paraId="4676348B" w14:textId="77777777" w:rsidR="00AF2008" w:rsidRDefault="00AF2008" w:rsidP="00AF2008"/>
    <w:p w14:paraId="3FCA8DD7" w14:textId="77777777" w:rsidR="00AF2008" w:rsidRDefault="00AF2008" w:rsidP="00AF2008">
      <w:r>
        <w:t>In other jurisdictions across the world, courts and governments are starting to recognize that app-based gig workers and other workers who are systematically misclassified are employees and are entitled to basic employment protections.</w:t>
      </w:r>
      <w:r>
        <w:rPr>
          <w:rStyle w:val="EndnoteReference"/>
        </w:rPr>
        <w:endnoteReference w:id="100"/>
      </w:r>
      <w:r>
        <w:rPr>
          <w:vertAlign w:val="superscript"/>
        </w:rPr>
        <w:t>,</w:t>
      </w:r>
      <w:r>
        <w:rPr>
          <w:rStyle w:val="EndnoteReference"/>
        </w:rPr>
        <w:endnoteReference w:id="101"/>
      </w:r>
      <w:r>
        <w:t xml:space="preserve"> The Ontario government should not create a new and separate category of workers’ rights. Rather, it should aim to strengthen and enforce the laws already in existence to protect app-based gig workers and other misclassified workers.</w:t>
      </w:r>
    </w:p>
    <w:p w14:paraId="58B046AC" w14:textId="77777777" w:rsidR="00AF2008" w:rsidRDefault="00AF2008" w:rsidP="00AF2008"/>
    <w:p w14:paraId="7D941EF4" w14:textId="466F84A9" w:rsidR="00AF2008" w:rsidRDefault="00AF2008" w:rsidP="00AF2008">
      <w:r>
        <w:t xml:space="preserve">In order to achieve this, the ESA should be amended to (1) </w:t>
      </w:r>
      <w:r w:rsidRPr="00DF539A">
        <w:rPr>
          <w:rFonts w:ascii="Times" w:hAnsi="Times" w:cs="Tahoma"/>
          <w:color w:val="000000"/>
        </w:rPr>
        <w:t>reinstate the reverse onus on employers to prove that a worker is an independent contractor</w:t>
      </w:r>
      <w:r>
        <w:rPr>
          <w:rFonts w:ascii="Times" w:hAnsi="Times" w:cs="Tahoma"/>
          <w:color w:val="000000"/>
        </w:rPr>
        <w:t xml:space="preserve">, and (2) use the “ABC test” for determining the worker’s classification. </w:t>
      </w:r>
      <w:r>
        <w:t xml:space="preserve"> The classification of employee status currently rests on a multi-factorial test that places the burden on workers to challenge and prove their status. Individual workers must make employment standards claims</w:t>
      </w:r>
      <w:r w:rsidR="00A14B40">
        <w:t xml:space="preserve"> and </w:t>
      </w:r>
      <w:r>
        <w:t>complex legal arguments</w:t>
      </w:r>
      <w:r w:rsidR="00A14B40">
        <w:t xml:space="preserve"> </w:t>
      </w:r>
      <w:r>
        <w:t>to access their ESA rights when they have been misclassified. The test for determining employer-employee relationships must be consistent with the remedial purposes of the ESA. The onus must be on the employer or hiring entity to prove that a worker is not an employee. Over 25 States in the United States use this presumption of employee status and the “ABC test” to determine who is an employee to access employment rights such as workers’ compensation, unemployment insurance and labour standards protections.</w:t>
      </w:r>
      <w:r>
        <w:rPr>
          <w:rStyle w:val="EndnoteReference"/>
        </w:rPr>
        <w:endnoteReference w:id="102"/>
      </w:r>
      <w:r>
        <w:rPr>
          <w:rStyle w:val="EndnoteReference"/>
        </w:rPr>
        <w:t xml:space="preserve"> </w:t>
      </w:r>
      <w:r>
        <w:t xml:space="preserve">This is a clear, comprehensive, and fair test for determining who is truly an independent contractor and not an employee. </w:t>
      </w:r>
    </w:p>
    <w:p w14:paraId="36747B1D" w14:textId="77777777" w:rsidR="00AF2008" w:rsidRDefault="00AF2008" w:rsidP="00AF2008"/>
    <w:p w14:paraId="2DA3E6C5" w14:textId="1E1BD784" w:rsidR="00AF2008" w:rsidRDefault="00AF2008" w:rsidP="00AF2008">
      <w:r>
        <w:t xml:space="preserve">The “ ABC test” provides that a worker is presumed to be an employee unless the hiring entity can establish each of the following three factors: a) </w:t>
      </w:r>
      <w:r w:rsidR="00362A3C">
        <w:t>t</w:t>
      </w:r>
      <w:r>
        <w:t xml:space="preserve">he worker is free from control and direction of the hiring entity in connection, both under the contract and in fact, for the performance of the work; b) </w:t>
      </w:r>
      <w:r w:rsidR="00362A3C">
        <w:t>t</w:t>
      </w:r>
      <w:r>
        <w:t xml:space="preserve">he worker performs work that is outside the usual course of the hiring entity’s business; and, c) </w:t>
      </w:r>
      <w:r w:rsidR="001E7EF2">
        <w:t>t</w:t>
      </w:r>
      <w:r>
        <w:t xml:space="preserve">he worker is customarily engaged in an independently established trade, occupation, or business of the same nature as the work performed. </w:t>
      </w:r>
    </w:p>
    <w:p w14:paraId="03D8E83D" w14:textId="77777777" w:rsidR="00AF2008" w:rsidRDefault="00AF2008" w:rsidP="00AF2008"/>
    <w:p w14:paraId="49A4894B" w14:textId="1000563C" w:rsidR="00AF2008" w:rsidRPr="00D34771" w:rsidRDefault="00AF2008" w:rsidP="00D34771">
      <w:pPr>
        <w:ind w:left="720"/>
        <w:contextualSpacing/>
      </w:pPr>
      <w:r w:rsidRPr="002724DA">
        <w:rPr>
          <w:b/>
        </w:rPr>
        <w:t xml:space="preserve">Recommendation </w:t>
      </w:r>
      <w:r>
        <w:rPr>
          <w:b/>
        </w:rPr>
        <w:t>#</w:t>
      </w:r>
      <w:r w:rsidR="00D34771">
        <w:rPr>
          <w:b/>
        </w:rPr>
        <w:t>8</w:t>
      </w:r>
      <w:r w:rsidRPr="002724DA">
        <w:rPr>
          <w:b/>
        </w:rPr>
        <w:t>:</w:t>
      </w:r>
      <w:r w:rsidRPr="002451B8">
        <w:t xml:space="preserve"> </w:t>
      </w:r>
      <w:r>
        <w:t xml:space="preserve">To protect app-based gig workers and end misclassification of employees, enact a presumption of employee status and the ABC test within the </w:t>
      </w:r>
      <w:r w:rsidRPr="00CA29EE">
        <w:rPr>
          <w:i/>
        </w:rPr>
        <w:t>Employment Standards Act</w:t>
      </w:r>
      <w:r>
        <w:rPr>
          <w:i/>
        </w:rPr>
        <w:t>, 2000</w:t>
      </w:r>
      <w:r w:rsidRPr="002724DA">
        <w:rPr>
          <w:iCs/>
        </w:rPr>
        <w:t>.</w:t>
      </w:r>
      <w:r>
        <w:t xml:space="preserve"> This will ensure workers have access to the full protections of the ESA.</w:t>
      </w:r>
    </w:p>
    <w:p w14:paraId="48E9A0AB" w14:textId="77F9029A" w:rsidR="00C33229" w:rsidRDefault="00C33229" w:rsidP="00F6736B">
      <w:pPr>
        <w:rPr>
          <w:bCs/>
        </w:rPr>
      </w:pPr>
    </w:p>
    <w:p w14:paraId="26E5C0BD" w14:textId="77777777" w:rsidR="00D34771" w:rsidRDefault="00D34771" w:rsidP="00F6736B">
      <w:pPr>
        <w:rPr>
          <w:bCs/>
        </w:rPr>
      </w:pPr>
    </w:p>
    <w:p w14:paraId="3AA11C6C" w14:textId="2489B79B" w:rsidR="00F6736B" w:rsidRPr="003F5F26" w:rsidRDefault="00E4390B" w:rsidP="00F6736B">
      <w:r w:rsidRPr="003F5F26">
        <w:rPr>
          <w:bCs/>
        </w:rPr>
        <w:t>Thank you for your consideration of our submission</w:t>
      </w:r>
      <w:r w:rsidR="0000082C">
        <w:rPr>
          <w:bCs/>
        </w:rPr>
        <w:t>.</w:t>
      </w:r>
    </w:p>
    <w:p w14:paraId="477E1229" w14:textId="56117C4C" w:rsidR="000A28EF" w:rsidRDefault="000A28EF" w:rsidP="007F5EAA">
      <w:pPr>
        <w:rPr>
          <w:bCs/>
          <w:highlight w:val="yellow"/>
        </w:rPr>
      </w:pPr>
    </w:p>
    <w:p w14:paraId="77DA544F" w14:textId="77777777" w:rsidR="00CC5A34" w:rsidRDefault="00CC5A34" w:rsidP="007F5EAA">
      <w:pPr>
        <w:rPr>
          <w:bCs/>
          <w:highlight w:val="yellow"/>
        </w:rPr>
      </w:pPr>
    </w:p>
    <w:p w14:paraId="71DA35D3" w14:textId="065FBE2A" w:rsidR="00113F96" w:rsidRPr="00384DCF" w:rsidRDefault="00756765" w:rsidP="007F5EAA">
      <w:pPr>
        <w:rPr>
          <w:bCs/>
        </w:rPr>
      </w:pPr>
      <w:r w:rsidRPr="003F5F26">
        <w:rPr>
          <w:bCs/>
        </w:rPr>
        <w:br w:type="page"/>
      </w:r>
      <w:r w:rsidR="00113F96" w:rsidRPr="003F5F26">
        <w:rPr>
          <w:b/>
        </w:rPr>
        <w:lastRenderedPageBreak/>
        <w:t>End</w:t>
      </w:r>
      <w:r w:rsidR="00D32D97" w:rsidRPr="003F5F26">
        <w:rPr>
          <w:b/>
        </w:rPr>
        <w:t>n</w:t>
      </w:r>
      <w:r w:rsidR="00113F96" w:rsidRPr="003F5F26">
        <w:rPr>
          <w:b/>
        </w:rPr>
        <w:t>otes</w:t>
      </w:r>
    </w:p>
    <w:sectPr w:rsidR="00113F96" w:rsidRPr="00384DCF" w:rsidSect="00271208">
      <w:footerReference w:type="first" r:id="rId12"/>
      <w:endnotePr>
        <w:numFmt w:val="decimal"/>
      </w:endnotePr>
      <w:pgSz w:w="12240" w:h="15840"/>
      <w:pgMar w:top="1298" w:right="1298" w:bottom="851" w:left="129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0B8FF" w14:textId="77777777" w:rsidR="004D1B1D" w:rsidRDefault="004D1B1D">
      <w:r>
        <w:separator/>
      </w:r>
    </w:p>
  </w:endnote>
  <w:endnote w:type="continuationSeparator" w:id="0">
    <w:p w14:paraId="33F39F26" w14:textId="77777777" w:rsidR="004D1B1D" w:rsidRDefault="004D1B1D">
      <w:r>
        <w:continuationSeparator/>
      </w:r>
    </w:p>
  </w:endnote>
  <w:endnote w:id="1">
    <w:p w14:paraId="202EB6BB" w14:textId="484C517C" w:rsidR="002D2EAD" w:rsidRDefault="002D2EAD">
      <w:pPr>
        <w:pStyle w:val="EndnoteText"/>
      </w:pPr>
      <w:r>
        <w:rPr>
          <w:rStyle w:val="EndnoteReference"/>
        </w:rPr>
        <w:endnoteRef/>
      </w:r>
      <w:r>
        <w:t xml:space="preserve"> </w:t>
      </w:r>
      <w:r w:rsidRPr="00BC6D9B">
        <w:t xml:space="preserve">Statistics Canada. (2023). </w:t>
      </w:r>
      <w:r w:rsidRPr="00BC6D9B">
        <w:rPr>
          <w:i/>
          <w:iCs/>
        </w:rPr>
        <w:t xml:space="preserve">Consumer price index portal. </w:t>
      </w:r>
      <w:r w:rsidRPr="00BC6D9B">
        <w:t xml:space="preserve">Retrieved from Statistics Canada website. </w:t>
      </w:r>
      <w:hyperlink r:id="rId1" w:history="1">
        <w:r w:rsidRPr="00BC6D9B">
          <w:rPr>
            <w:rStyle w:val="Hyperlink"/>
          </w:rPr>
          <w:t>https://www.statcan.gc.ca/en/subjects-start/prices_and_price_indexes/consumer_price_indexes</w:t>
        </w:r>
      </w:hyperlink>
      <w:r w:rsidRPr="00BC6D9B">
        <w:t>.</w:t>
      </w:r>
    </w:p>
  </w:endnote>
  <w:endnote w:id="2">
    <w:p w14:paraId="638DA2C0" w14:textId="0F892DF3" w:rsidR="0098004D" w:rsidRDefault="0098004D">
      <w:pPr>
        <w:pStyle w:val="EndnoteText"/>
      </w:pPr>
      <w:r>
        <w:rPr>
          <w:rStyle w:val="EndnoteReference"/>
        </w:rPr>
        <w:endnoteRef/>
      </w:r>
      <w:r>
        <w:t xml:space="preserve"> </w:t>
      </w:r>
      <w:r w:rsidRPr="00BC6D9B">
        <w:t xml:space="preserve">Government of Ontario. (2023). </w:t>
      </w:r>
      <w:r w:rsidRPr="00BC6D9B">
        <w:rPr>
          <w:i/>
          <w:iCs/>
        </w:rPr>
        <w:t xml:space="preserve">Social assistance and caseload statistics. </w:t>
      </w:r>
      <w:r w:rsidRPr="00BC6D9B">
        <w:t xml:space="preserve">Retrieved from Government of Ontario website: </w:t>
      </w:r>
      <w:hyperlink r:id="rId2" w:history="1">
        <w:r w:rsidRPr="00BC6D9B">
          <w:rPr>
            <w:rStyle w:val="Hyperlink"/>
          </w:rPr>
          <w:t>https://www.ontario.ca/page/social-assistance-and-caseload-statistics</w:t>
        </w:r>
      </w:hyperlink>
      <w:r w:rsidRPr="00BC6D9B">
        <w:t>.</w:t>
      </w:r>
    </w:p>
  </w:endnote>
  <w:endnote w:id="3">
    <w:p w14:paraId="382F24AE" w14:textId="029450CB" w:rsidR="00B4543E" w:rsidRDefault="00B4543E">
      <w:pPr>
        <w:pStyle w:val="EndnoteText"/>
      </w:pPr>
      <w:r>
        <w:rPr>
          <w:rStyle w:val="EndnoteReference"/>
        </w:rPr>
        <w:endnoteRef/>
      </w:r>
      <w:r>
        <w:t xml:space="preserve"> Government of Ontario. (2022, November 14). </w:t>
      </w:r>
      <w:r>
        <w:rPr>
          <w:i/>
          <w:iCs/>
        </w:rPr>
        <w:t xml:space="preserve">Ontario Delivers Progress Report and Advances its Plan to Build </w:t>
      </w:r>
      <w:r>
        <w:t xml:space="preserve">[News release]. Retrieved from the Government of Ontario website: </w:t>
      </w:r>
      <w:hyperlink r:id="rId3" w:history="1">
        <w:r w:rsidR="0014748E" w:rsidRPr="00F84015">
          <w:rPr>
            <w:rStyle w:val="Hyperlink"/>
          </w:rPr>
          <w:t>https://news.ontario.ca/en/release/1002475/ontario-delivers-progress-report-and-advances-its-plan-to-build</w:t>
        </w:r>
      </w:hyperlink>
      <w:r w:rsidR="0014748E">
        <w:t xml:space="preserve">. </w:t>
      </w:r>
    </w:p>
  </w:endnote>
  <w:endnote w:id="4">
    <w:p w14:paraId="73AC547F" w14:textId="051CF107" w:rsidR="007D1E03" w:rsidRPr="001057C8" w:rsidRDefault="007D1E03" w:rsidP="006E7618">
      <w:pPr>
        <w:pStyle w:val="EndnoteText"/>
      </w:pPr>
      <w:r>
        <w:rPr>
          <w:rStyle w:val="EndnoteReference"/>
        </w:rPr>
        <w:endnoteRef/>
      </w:r>
      <w:r>
        <w:t xml:space="preserve"> Tabbara, Mohy</w:t>
      </w:r>
      <w:r w:rsidR="00A3609D">
        <w:t>.</w:t>
      </w:r>
      <w:r>
        <w:t xml:space="preserve"> (2022). </w:t>
      </w:r>
      <w:r>
        <w:rPr>
          <w:i/>
          <w:iCs/>
        </w:rPr>
        <w:t>Social Assistance Summaries, 2021</w:t>
      </w:r>
      <w:r>
        <w:t xml:space="preserve">. Maytree. </w:t>
      </w:r>
      <w:hyperlink r:id="rId4" w:history="1">
        <w:r w:rsidRPr="00820F96">
          <w:rPr>
            <w:rStyle w:val="Hyperlink"/>
          </w:rPr>
          <w:t>https://maytree.com/wp-content/uploads/Social_Assistance_Summaries_All_Canada.pdf</w:t>
        </w:r>
      </w:hyperlink>
      <w:r>
        <w:t>, p. 61.</w:t>
      </w:r>
    </w:p>
  </w:endnote>
  <w:endnote w:id="5">
    <w:p w14:paraId="138CAA02" w14:textId="42575B55" w:rsidR="007D1E03" w:rsidRDefault="007D1E03">
      <w:pPr>
        <w:pStyle w:val="EndnoteText"/>
      </w:pPr>
      <w:r>
        <w:rPr>
          <w:rStyle w:val="EndnoteReference"/>
        </w:rPr>
        <w:endnoteRef/>
      </w:r>
      <w:r>
        <w:t xml:space="preserve"> Tabbara, Mohy</w:t>
      </w:r>
      <w:r w:rsidR="00A3609D">
        <w:t>.</w:t>
      </w:r>
      <w:r>
        <w:t xml:space="preserve"> (2022). </w:t>
      </w:r>
      <w:r>
        <w:rPr>
          <w:i/>
          <w:iCs/>
        </w:rPr>
        <w:t>Social Assistance Summaries, 2021</w:t>
      </w:r>
      <w:r>
        <w:t xml:space="preserve">. Maytree. </w:t>
      </w:r>
      <w:hyperlink r:id="rId5" w:history="1">
        <w:r w:rsidRPr="00820F96">
          <w:rPr>
            <w:rStyle w:val="Hyperlink"/>
          </w:rPr>
          <w:t>https://maytree.com/wp-content/uploads/Social_Assistance_Summaries_All_Canada.pdf</w:t>
        </w:r>
      </w:hyperlink>
      <w:r>
        <w:t>, p. 61.</w:t>
      </w:r>
    </w:p>
  </w:endnote>
  <w:endnote w:id="6">
    <w:p w14:paraId="08948EE9" w14:textId="76962184" w:rsidR="007D1E03" w:rsidRPr="00BC6D9B" w:rsidRDefault="007D1E03" w:rsidP="002B25EC">
      <w:pPr>
        <w:pStyle w:val="EndnoteText"/>
        <w:rPr>
          <w:highlight w:val="yellow"/>
        </w:rPr>
      </w:pPr>
      <w:r w:rsidRPr="00BC6D9B">
        <w:rPr>
          <w:rStyle w:val="EndnoteReference"/>
        </w:rPr>
        <w:endnoteRef/>
      </w:r>
      <w:r w:rsidRPr="00BC6D9B">
        <w:t xml:space="preserve"> </w:t>
      </w:r>
      <w:r>
        <w:t xml:space="preserve">Government of Ontario. (2023). </w:t>
      </w:r>
      <w:r w:rsidRPr="00BC6D9B">
        <w:rPr>
          <w:iCs/>
        </w:rPr>
        <w:t>Ontario Disability Support Program Act</w:t>
      </w:r>
      <w:r w:rsidRPr="00BC6D9B">
        <w:rPr>
          <w:i/>
          <w:iCs/>
        </w:rPr>
        <w:t xml:space="preserve"> </w:t>
      </w:r>
      <w:r w:rsidRPr="00BC6D9B">
        <w:t xml:space="preserve">(1997). O. Reg. 222/98, s.30, 31. </w:t>
      </w:r>
      <w:r>
        <w:t xml:space="preserve">Retrieved from Government of Ontario website: </w:t>
      </w:r>
      <w:hyperlink r:id="rId6" w:history="1">
        <w:r w:rsidRPr="00BC6D9B">
          <w:rPr>
            <w:rStyle w:val="Hyperlink"/>
          </w:rPr>
          <w:t>https://www.ontario.ca/laws/regulation/980222</w:t>
        </w:r>
      </w:hyperlink>
      <w:r w:rsidRPr="00BC6D9B">
        <w:t xml:space="preserve">; </w:t>
      </w:r>
      <w:r>
        <w:t xml:space="preserve">Government of Ontario. </w:t>
      </w:r>
      <w:r w:rsidRPr="00BC6D9B">
        <w:rPr>
          <w:i/>
          <w:iCs/>
        </w:rPr>
        <w:t xml:space="preserve">Ontario Works Act </w:t>
      </w:r>
      <w:r w:rsidRPr="00BC6D9B">
        <w:t xml:space="preserve">(1997). O. Reg 134/93, s. 41, 42. Retrieved </w:t>
      </w:r>
      <w:r>
        <w:t>from Government of Ontario website:</w:t>
      </w:r>
      <w:r w:rsidRPr="00BC6D9B">
        <w:t xml:space="preserve"> </w:t>
      </w:r>
      <w:hyperlink r:id="rId7" w:history="1">
        <w:r w:rsidRPr="00BC6D9B">
          <w:rPr>
            <w:rStyle w:val="Hyperlink"/>
          </w:rPr>
          <w:t>https://www.ontario.ca/laws/regulation/980134</w:t>
        </w:r>
      </w:hyperlink>
      <w:r w:rsidRPr="00BC6D9B">
        <w:t>.</w:t>
      </w:r>
    </w:p>
  </w:endnote>
  <w:endnote w:id="7">
    <w:p w14:paraId="463B45E1" w14:textId="7F58E1A8" w:rsidR="007D1E03" w:rsidRPr="00BC6D9B" w:rsidRDefault="007D1E03" w:rsidP="002B25EC">
      <w:pPr>
        <w:rPr>
          <w:sz w:val="20"/>
          <w:szCs w:val="20"/>
        </w:rPr>
      </w:pPr>
      <w:r w:rsidRPr="00BC6D9B">
        <w:rPr>
          <w:rStyle w:val="EndnoteReference"/>
          <w:sz w:val="20"/>
          <w:szCs w:val="20"/>
        </w:rPr>
        <w:endnoteRef/>
      </w:r>
      <w:r w:rsidRPr="00BC6D9B">
        <w:rPr>
          <w:sz w:val="20"/>
          <w:szCs w:val="20"/>
        </w:rPr>
        <w:t xml:space="preserve"> </w:t>
      </w:r>
      <w:r w:rsidRPr="00BC6D9B">
        <w:rPr>
          <w:color w:val="000000"/>
          <w:sz w:val="20"/>
          <w:szCs w:val="20"/>
        </w:rPr>
        <w:t>Bank of Canada</w:t>
      </w:r>
      <w:r>
        <w:rPr>
          <w:color w:val="000000"/>
          <w:sz w:val="20"/>
          <w:szCs w:val="20"/>
        </w:rPr>
        <w:t>.</w:t>
      </w:r>
      <w:r w:rsidRPr="00BC6D9B">
        <w:rPr>
          <w:color w:val="000000"/>
          <w:sz w:val="20"/>
          <w:szCs w:val="20"/>
        </w:rPr>
        <w:t xml:space="preserve"> </w:t>
      </w:r>
      <w:r>
        <w:rPr>
          <w:color w:val="000000"/>
          <w:sz w:val="20"/>
          <w:szCs w:val="20"/>
        </w:rPr>
        <w:t xml:space="preserve">(2023). </w:t>
      </w:r>
      <w:r w:rsidRPr="00652429">
        <w:rPr>
          <w:i/>
          <w:iCs/>
          <w:color w:val="000000"/>
          <w:sz w:val="20"/>
          <w:szCs w:val="20"/>
        </w:rPr>
        <w:t>Inflation Calculator.</w:t>
      </w:r>
      <w:r w:rsidRPr="00BC6D9B">
        <w:rPr>
          <w:rStyle w:val="apple-converted-space"/>
          <w:color w:val="000000"/>
          <w:sz w:val="20"/>
          <w:szCs w:val="20"/>
        </w:rPr>
        <w:t> </w:t>
      </w:r>
      <w:hyperlink r:id="rId8" w:tgtFrame="_blank" w:history="1">
        <w:r w:rsidRPr="00BC6D9B">
          <w:rPr>
            <w:rStyle w:val="Hyperlink"/>
            <w:sz w:val="20"/>
            <w:szCs w:val="20"/>
          </w:rPr>
          <w:t>https://www.bankofcanada.ca/rates/related/inflation-calculator/</w:t>
        </w:r>
      </w:hyperlink>
      <w:r w:rsidRPr="00BC6D9B">
        <w:rPr>
          <w:sz w:val="20"/>
          <w:szCs w:val="20"/>
        </w:rPr>
        <w:t>.</w:t>
      </w:r>
    </w:p>
  </w:endnote>
  <w:endnote w:id="8">
    <w:p w14:paraId="3CF770E3" w14:textId="0FD5DB40" w:rsidR="007D1E03" w:rsidRPr="00BC6D9B" w:rsidRDefault="007D1E03" w:rsidP="00A934C7">
      <w:pPr>
        <w:pStyle w:val="EndnoteText"/>
      </w:pPr>
      <w:r w:rsidRPr="00BC6D9B">
        <w:rPr>
          <w:rStyle w:val="EndnoteReference"/>
        </w:rPr>
        <w:endnoteRef/>
      </w:r>
      <w:r>
        <w:t xml:space="preserve"> </w:t>
      </w:r>
      <w:r w:rsidRPr="00BC6D9B">
        <w:t xml:space="preserve">Statistics Canada. (2023). </w:t>
      </w:r>
      <w:r w:rsidRPr="00BC6D9B">
        <w:rPr>
          <w:i/>
          <w:iCs/>
        </w:rPr>
        <w:t xml:space="preserve">Table 11-10-0066-01 </w:t>
      </w:r>
      <w:r w:rsidRPr="00BC6D9B">
        <w:rPr>
          <w:i/>
        </w:rPr>
        <w:t>Market Basket Measure (MBM) thresholds for the reference family by Market Basket Measure regions, component and base year</w:t>
      </w:r>
      <w:r w:rsidRPr="00BC6D9B">
        <w:t xml:space="preserve">. Retrieved from Statistics Canada website: </w:t>
      </w:r>
      <w:hyperlink r:id="rId9" w:history="1">
        <w:r w:rsidRPr="00BC6D9B">
          <w:rPr>
            <w:rStyle w:val="Hyperlink"/>
          </w:rPr>
          <w:t>https://www150.statcan.gc.ca/t1/tbl1/en/tv.action?pid=1110006601</w:t>
        </w:r>
      </w:hyperlink>
      <w:r w:rsidRPr="00BC6D9B">
        <w:t xml:space="preserve">, n.2. </w:t>
      </w:r>
    </w:p>
  </w:endnote>
  <w:endnote w:id="9">
    <w:p w14:paraId="60D10B36" w14:textId="0DA855F5" w:rsidR="007D1E03" w:rsidRPr="00BC6D9B" w:rsidRDefault="007D1E03" w:rsidP="00A934C7">
      <w:pPr>
        <w:pStyle w:val="EndnoteText"/>
      </w:pPr>
      <w:r w:rsidRPr="00BC6D9B">
        <w:rPr>
          <w:rStyle w:val="EndnoteReference"/>
        </w:rPr>
        <w:endnoteRef/>
      </w:r>
      <w:r w:rsidRPr="00BC6D9B">
        <w:t xml:space="preserve"> Statistics Canada. (2023). </w:t>
      </w:r>
      <w:r w:rsidRPr="00BC6D9B">
        <w:rPr>
          <w:i/>
          <w:iCs/>
        </w:rPr>
        <w:t xml:space="preserve">Table 11-10-0066-01 </w:t>
      </w:r>
      <w:r w:rsidRPr="00BC6D9B">
        <w:rPr>
          <w:i/>
        </w:rPr>
        <w:t>Market Basket Measure (MBM) thresholds for the reference family by Market Basket Measure regions, component and base year</w:t>
      </w:r>
      <w:r w:rsidRPr="00BC6D9B">
        <w:t xml:space="preserve">. Retrieved from Statistics Canada website: </w:t>
      </w:r>
      <w:hyperlink r:id="rId10" w:history="1">
        <w:r w:rsidRPr="00BC6D9B">
          <w:rPr>
            <w:rStyle w:val="Hyperlink"/>
          </w:rPr>
          <w:t>https://www150.statcan.gc.ca/t1/tbl1/en/tv.action?pid=1110006601</w:t>
        </w:r>
      </w:hyperlink>
      <w:r w:rsidRPr="00BC6D9B">
        <w:t>.</w:t>
      </w:r>
    </w:p>
  </w:endnote>
  <w:endnote w:id="10">
    <w:p w14:paraId="1AD074A6" w14:textId="53EBE1C9" w:rsidR="007D1E03" w:rsidRPr="00BC6D9B" w:rsidRDefault="007D1E03" w:rsidP="00A934C7">
      <w:pPr>
        <w:rPr>
          <w:sz w:val="20"/>
          <w:szCs w:val="20"/>
        </w:rPr>
      </w:pPr>
      <w:r w:rsidRPr="00BC6D9B">
        <w:rPr>
          <w:rStyle w:val="EndnoteReference"/>
        </w:rPr>
        <w:endnoteRef/>
      </w:r>
      <w:r w:rsidRPr="00BC6D9B">
        <w:t xml:space="preserve"> </w:t>
      </w:r>
      <w:r w:rsidRPr="00BC6D9B">
        <w:rPr>
          <w:sz w:val="20"/>
          <w:szCs w:val="20"/>
        </w:rPr>
        <w:t>Laidley, Jennefer and Mohy Tabbara</w:t>
      </w:r>
      <w:r w:rsidR="005A50DC">
        <w:rPr>
          <w:sz w:val="20"/>
          <w:szCs w:val="20"/>
        </w:rPr>
        <w:t>.</w:t>
      </w:r>
      <w:r w:rsidRPr="00BC6D9B">
        <w:rPr>
          <w:sz w:val="20"/>
          <w:szCs w:val="20"/>
        </w:rPr>
        <w:t xml:space="preserve"> (2022). </w:t>
      </w:r>
      <w:r w:rsidRPr="00BC6D9B">
        <w:rPr>
          <w:i/>
          <w:iCs/>
          <w:sz w:val="20"/>
          <w:szCs w:val="20"/>
        </w:rPr>
        <w:t>Welfare in Canada, 2021</w:t>
      </w:r>
      <w:r w:rsidRPr="00BC6D9B">
        <w:rPr>
          <w:sz w:val="20"/>
          <w:szCs w:val="20"/>
        </w:rPr>
        <w:t xml:space="preserve">. Maytree. </w:t>
      </w:r>
      <w:hyperlink r:id="rId11" w:history="1">
        <w:r w:rsidRPr="00BC6D9B">
          <w:rPr>
            <w:rStyle w:val="Hyperlink"/>
            <w:sz w:val="20"/>
            <w:szCs w:val="20"/>
          </w:rPr>
          <w:t>https://maytree.com/wp-content/uploads/Welfare_in_Canada_2021.pdf</w:t>
        </w:r>
      </w:hyperlink>
      <w:r w:rsidRPr="00BC6D9B">
        <w:rPr>
          <w:sz w:val="20"/>
          <w:szCs w:val="20"/>
        </w:rPr>
        <w:t>, p.4.</w:t>
      </w:r>
      <w:r w:rsidRPr="00BC6D9B">
        <w:rPr>
          <w:color w:val="000000"/>
          <w:sz w:val="20"/>
          <w:szCs w:val="20"/>
          <w:shd w:val="clear" w:color="auto" w:fill="FFFFFF"/>
        </w:rPr>
        <w:t xml:space="preserve"> </w:t>
      </w:r>
    </w:p>
  </w:endnote>
  <w:endnote w:id="11">
    <w:p w14:paraId="5E8B29EF" w14:textId="14B0601F" w:rsidR="007D1E03" w:rsidRDefault="007D1E03">
      <w:pPr>
        <w:pStyle w:val="EndnoteText"/>
      </w:pPr>
      <w:r>
        <w:rPr>
          <w:rStyle w:val="EndnoteReference"/>
        </w:rPr>
        <w:endnoteRef/>
      </w:r>
      <w:r w:rsidRPr="00193523">
        <w:rPr>
          <w:lang w:val="fr-CA"/>
        </w:rPr>
        <w:t xml:space="preserve"> Dumais, Lucie, Alexandra Prohet, and Marie-</w:t>
      </w:r>
      <w:r w:rsidRPr="00193523">
        <w:rPr>
          <w:color w:val="000000"/>
          <w:shd w:val="clear" w:color="auto" w:fill="FFFFFF"/>
          <w:lang w:val="fr-CA"/>
        </w:rPr>
        <w:t>Noëlle Ducharme</w:t>
      </w:r>
      <w:r w:rsidR="00F270B6">
        <w:rPr>
          <w:color w:val="000000"/>
          <w:shd w:val="clear" w:color="auto" w:fill="FFFFFF"/>
          <w:lang w:val="fr-CA"/>
        </w:rPr>
        <w:t>.</w:t>
      </w:r>
      <w:r w:rsidRPr="00193523">
        <w:rPr>
          <w:color w:val="000000"/>
          <w:shd w:val="clear" w:color="auto" w:fill="FFFFFF"/>
          <w:lang w:val="fr-CA"/>
        </w:rPr>
        <w:t xml:space="preserve"> </w:t>
      </w:r>
      <w:r w:rsidRPr="002432CD">
        <w:rPr>
          <w:color w:val="000000"/>
          <w:shd w:val="clear" w:color="auto" w:fill="FFFFFF"/>
          <w:lang w:val="en-US"/>
        </w:rPr>
        <w:t xml:space="preserve">(2015). </w:t>
      </w:r>
      <w:r w:rsidRPr="000711AA">
        <w:rPr>
          <w:i/>
          <w:iCs/>
          <w:color w:val="000000"/>
          <w:shd w:val="clear" w:color="auto" w:fill="FFFFFF"/>
        </w:rPr>
        <w:t>Review of Extra Costs Linked to Disability.</w:t>
      </w:r>
      <w:r w:rsidRPr="0039494B">
        <w:rPr>
          <w:color w:val="000000"/>
          <w:shd w:val="clear" w:color="auto" w:fill="FFFFFF"/>
        </w:rPr>
        <w:t xml:space="preserve"> </w:t>
      </w:r>
      <w:r w:rsidRPr="000711AA">
        <w:rPr>
          <w:color w:val="000000"/>
          <w:shd w:val="clear" w:color="auto" w:fill="FFFFFF"/>
        </w:rPr>
        <w:t>Council of Canadians with Disabilities</w:t>
      </w:r>
      <w:r w:rsidRPr="0039494B">
        <w:rPr>
          <w:color w:val="000000"/>
          <w:shd w:val="clear" w:color="auto" w:fill="FFFFFF"/>
        </w:rPr>
        <w:t xml:space="preserve">. </w:t>
      </w:r>
      <w:hyperlink r:id="rId12" w:history="1">
        <w:r w:rsidRPr="0039494B">
          <w:rPr>
            <w:rStyle w:val="Hyperlink"/>
            <w:shd w:val="clear" w:color="auto" w:fill="FFFFFF"/>
          </w:rPr>
          <w:t>http://www.ccdonline.ca/en/socialpolicy/poverty-citizenship/income-security-reform/extra-costs-linked-to-disability</w:t>
        </w:r>
      </w:hyperlink>
      <w:r>
        <w:rPr>
          <w:rStyle w:val="Hyperlink"/>
          <w:shd w:val="clear" w:color="auto" w:fill="FFFFFF"/>
        </w:rPr>
        <w:t>.</w:t>
      </w:r>
    </w:p>
  </w:endnote>
  <w:endnote w:id="12">
    <w:p w14:paraId="3A34396E" w14:textId="436BABF3" w:rsidR="007D1E03" w:rsidRDefault="007D1E03">
      <w:pPr>
        <w:pStyle w:val="EndnoteText"/>
      </w:pPr>
      <w:r>
        <w:rPr>
          <w:rStyle w:val="EndnoteReference"/>
        </w:rPr>
        <w:endnoteRef/>
      </w:r>
      <w:r>
        <w:t xml:space="preserve"> United Nations Department of Economic and Social Affairs</w:t>
      </w:r>
      <w:r w:rsidR="00F270B6">
        <w:t>.</w:t>
      </w:r>
      <w:r>
        <w:t xml:space="preserve"> (2018). </w:t>
      </w:r>
      <w:r>
        <w:rPr>
          <w:i/>
          <w:iCs/>
        </w:rPr>
        <w:t xml:space="preserve">Disability and Development Report: Realizing the Sustainable Development Goals by, for and with persons with disabilities. </w:t>
      </w:r>
      <w:r>
        <w:t xml:space="preserve">Retrieved from United Nations website: </w:t>
      </w:r>
      <w:hyperlink r:id="rId13" w:history="1">
        <w:r w:rsidRPr="00047B44">
          <w:rPr>
            <w:rStyle w:val="Hyperlink"/>
          </w:rPr>
          <w:t>https://social.un.org/publications/UN-Flagship-Report-Disability-Final.pdf</w:t>
        </w:r>
      </w:hyperlink>
      <w:r>
        <w:t xml:space="preserve">, pp. 37-38.  </w:t>
      </w:r>
    </w:p>
  </w:endnote>
  <w:endnote w:id="13">
    <w:p w14:paraId="5E253238" w14:textId="00218344" w:rsidR="0089266E" w:rsidRPr="00BC6D9B" w:rsidRDefault="0089266E" w:rsidP="0089266E">
      <w:pPr>
        <w:pStyle w:val="EndnoteText"/>
      </w:pPr>
      <w:r w:rsidRPr="00BC6D9B">
        <w:rPr>
          <w:rStyle w:val="EndnoteReference"/>
        </w:rPr>
        <w:endnoteRef/>
      </w:r>
      <w:r w:rsidRPr="00BC6D9B">
        <w:t xml:space="preserve"> Laidley, Jennefer and Mohy Tabbara</w:t>
      </w:r>
      <w:r w:rsidR="00901136">
        <w:t>.</w:t>
      </w:r>
      <w:r w:rsidRPr="00BC6D9B">
        <w:t xml:space="preserve"> (2022). </w:t>
      </w:r>
      <w:r w:rsidRPr="00BC6D9B">
        <w:rPr>
          <w:i/>
          <w:iCs/>
        </w:rPr>
        <w:t>Welfare in Canada, 2021</w:t>
      </w:r>
      <w:r w:rsidRPr="00BC6D9B">
        <w:t xml:space="preserve">. Maytree. </w:t>
      </w:r>
      <w:hyperlink r:id="rId14" w:history="1">
        <w:r w:rsidRPr="00BC6D9B">
          <w:rPr>
            <w:rStyle w:val="Hyperlink"/>
          </w:rPr>
          <w:t>https://maytree.com/wp-content/uploads/Welfare_in_Canada_2021.pdf</w:t>
        </w:r>
      </w:hyperlink>
      <w:r w:rsidRPr="00BC6D9B">
        <w:t>, p.3.</w:t>
      </w:r>
    </w:p>
  </w:endnote>
  <w:endnote w:id="14">
    <w:p w14:paraId="6666321C" w14:textId="1B86E21D" w:rsidR="007D1E03" w:rsidRPr="00BC6D9B" w:rsidRDefault="007D1E03" w:rsidP="00A934C7">
      <w:pPr>
        <w:autoSpaceDE w:val="0"/>
        <w:autoSpaceDN w:val="0"/>
        <w:adjustRightInd w:val="0"/>
        <w:rPr>
          <w:color w:val="000000"/>
          <w:sz w:val="20"/>
          <w:szCs w:val="20"/>
          <w:lang w:eastAsia="en-CA"/>
        </w:rPr>
      </w:pPr>
      <w:r w:rsidRPr="00961814">
        <w:rPr>
          <w:rStyle w:val="EndnoteReference"/>
          <w:sz w:val="20"/>
          <w:szCs w:val="20"/>
        </w:rPr>
        <w:endnoteRef/>
      </w:r>
      <w:r w:rsidRPr="00961814">
        <w:rPr>
          <w:sz w:val="20"/>
          <w:szCs w:val="20"/>
          <w:lang w:eastAsia="en-CA"/>
        </w:rPr>
        <w:t xml:space="preserve"> Core</w:t>
      </w:r>
      <w:r w:rsidRPr="00BC6D9B">
        <w:rPr>
          <w:sz w:val="20"/>
          <w:szCs w:val="20"/>
          <w:lang w:eastAsia="en-CA"/>
        </w:rPr>
        <w:t xml:space="preserve"> housing need “</w:t>
      </w:r>
      <w:r w:rsidRPr="00BC6D9B">
        <w:rPr>
          <w:color w:val="000000"/>
          <w:sz w:val="20"/>
          <w:szCs w:val="20"/>
          <w:lang w:eastAsia="en-CA"/>
        </w:rPr>
        <w:t>asks three questions about the way individuals and families live: Is the house, suite, or apartment big enough for the number of people living in it? Is it in a state of good repair? Is it affordable? If the answer to any one of those questions is “no,” and the people in the household have no alternative but to stay where they are, then they are in core housing need.”</w:t>
      </w:r>
      <w:r w:rsidRPr="00BC6D9B">
        <w:rPr>
          <w:b/>
          <w:bCs/>
          <w:color w:val="000000"/>
          <w:lang w:eastAsia="en-CA"/>
        </w:rPr>
        <w:t xml:space="preserve"> </w:t>
      </w:r>
      <w:r w:rsidRPr="00BC6D9B">
        <w:rPr>
          <w:color w:val="000000"/>
          <w:sz w:val="20"/>
          <w:szCs w:val="20"/>
          <w:lang w:eastAsia="en-CA"/>
        </w:rPr>
        <w:t xml:space="preserve">See Robinson, Randy, </w:t>
      </w:r>
      <w:r w:rsidR="001E7EF2" w:rsidRPr="00BC6D9B">
        <w:rPr>
          <w:color w:val="000000"/>
          <w:sz w:val="20"/>
          <w:szCs w:val="20"/>
          <w:lang w:eastAsia="en-CA"/>
        </w:rPr>
        <w:t>Ricardo</w:t>
      </w:r>
      <w:r w:rsidRPr="00BC6D9B">
        <w:rPr>
          <w:color w:val="000000"/>
          <w:sz w:val="20"/>
          <w:szCs w:val="20"/>
          <w:lang w:eastAsia="en-CA"/>
        </w:rPr>
        <w:t xml:space="preserve"> Tranjan, and Tania Oliveira</w:t>
      </w:r>
      <w:r w:rsidR="005A50DC">
        <w:rPr>
          <w:color w:val="000000"/>
          <w:sz w:val="20"/>
          <w:szCs w:val="20"/>
          <w:lang w:eastAsia="en-CA"/>
        </w:rPr>
        <w:t xml:space="preserve">. </w:t>
      </w:r>
      <w:r w:rsidRPr="00BC6D9B">
        <w:rPr>
          <w:color w:val="000000"/>
          <w:sz w:val="20"/>
          <w:szCs w:val="20"/>
          <w:lang w:eastAsia="en-CA"/>
        </w:rPr>
        <w:t xml:space="preserve">(2021). </w:t>
      </w:r>
      <w:r w:rsidRPr="00BC6D9B">
        <w:rPr>
          <w:i/>
          <w:iCs/>
          <w:color w:val="000000"/>
          <w:sz w:val="20"/>
          <w:szCs w:val="20"/>
          <w:lang w:eastAsia="en-CA"/>
        </w:rPr>
        <w:t>Poverty in the Midst of Plenty: A report card on child and family poverty in Ontario</w:t>
      </w:r>
      <w:r w:rsidRPr="00BC6D9B">
        <w:rPr>
          <w:color w:val="000000"/>
          <w:sz w:val="20"/>
          <w:szCs w:val="20"/>
          <w:lang w:eastAsia="en-CA"/>
        </w:rPr>
        <w:t xml:space="preserve">. Canadian Centre for Policy Alternatives. </w:t>
      </w:r>
      <w:hyperlink r:id="rId15" w:history="1">
        <w:r w:rsidRPr="00BC6D9B">
          <w:rPr>
            <w:rStyle w:val="Hyperlink"/>
            <w:sz w:val="20"/>
            <w:szCs w:val="20"/>
            <w:lang w:eastAsia="en-CA"/>
          </w:rPr>
          <w:t>https://www.policyalternatives.ca/sites/default/files/uploads/publications/Ontario%20Office/2021/11/Poverty%20in%20the%20midst%20of%20plenty%20EN_FINAL.pdf</w:t>
        </w:r>
      </w:hyperlink>
      <w:r w:rsidRPr="00BC6D9B">
        <w:rPr>
          <w:color w:val="000000"/>
          <w:sz w:val="20"/>
          <w:szCs w:val="20"/>
          <w:lang w:eastAsia="en-CA"/>
        </w:rPr>
        <w:t xml:space="preserve">, </w:t>
      </w:r>
      <w:r>
        <w:rPr>
          <w:color w:val="000000"/>
          <w:sz w:val="20"/>
          <w:szCs w:val="20"/>
          <w:lang w:eastAsia="en-CA"/>
        </w:rPr>
        <w:t xml:space="preserve">pp. </w:t>
      </w:r>
      <w:r w:rsidRPr="00BC6D9B">
        <w:rPr>
          <w:color w:val="000000"/>
          <w:sz w:val="20"/>
          <w:szCs w:val="20"/>
          <w:lang w:eastAsia="en-CA"/>
        </w:rPr>
        <w:t>29-30.</w:t>
      </w:r>
    </w:p>
  </w:endnote>
  <w:endnote w:id="15">
    <w:p w14:paraId="5B53D02E" w14:textId="209D32D3" w:rsidR="007D1E03" w:rsidRPr="00BC6D9B" w:rsidRDefault="007D1E03" w:rsidP="00A934C7">
      <w:pPr>
        <w:pStyle w:val="EndnoteText"/>
      </w:pPr>
      <w:r w:rsidRPr="00BC6D9B">
        <w:rPr>
          <w:rStyle w:val="EndnoteReference"/>
        </w:rPr>
        <w:endnoteRef/>
      </w:r>
      <w:r w:rsidRPr="00BC6D9B">
        <w:t xml:space="preserve"> </w:t>
      </w:r>
      <w:r>
        <w:t>City of Toronto</w:t>
      </w:r>
      <w:r w:rsidR="005A50DC">
        <w:t>.</w:t>
      </w:r>
      <w:r w:rsidRPr="00BC6D9B">
        <w:t xml:space="preserve"> (</w:t>
      </w:r>
      <w:r>
        <w:t>2022</w:t>
      </w:r>
      <w:r w:rsidRPr="00BC6D9B">
        <w:t xml:space="preserve">). </w:t>
      </w:r>
      <w:r>
        <w:rPr>
          <w:i/>
          <w:iCs/>
        </w:rPr>
        <w:t xml:space="preserve">Current City of Toronto Average Market Rents &amp; Utility Allowances. </w:t>
      </w:r>
      <w:r w:rsidRPr="00BC6D9B">
        <w:t xml:space="preserve">Retrieved </w:t>
      </w:r>
      <w:r>
        <w:t xml:space="preserve">from City of Toronto website; </w:t>
      </w:r>
      <w:hyperlink r:id="rId16" w:history="1">
        <w:r w:rsidRPr="00047B44">
          <w:rPr>
            <w:rStyle w:val="Hyperlink"/>
          </w:rPr>
          <w:t>https://www.toronto.ca/community-people/community-partners/social-housing-providers/affordable-housing-operators/current-city-of-toronto-average-market-rents-and-utility-allowances/</w:t>
        </w:r>
      </w:hyperlink>
      <w:r>
        <w:t xml:space="preserve">. </w:t>
      </w:r>
    </w:p>
  </w:endnote>
  <w:endnote w:id="16">
    <w:p w14:paraId="6FD3178C" w14:textId="0B7A4352" w:rsidR="007D1E03" w:rsidRDefault="007D1E03">
      <w:pPr>
        <w:pStyle w:val="EndnoteText"/>
      </w:pPr>
      <w:r>
        <w:rPr>
          <w:rStyle w:val="EndnoteReference"/>
        </w:rPr>
        <w:endnoteRef/>
      </w:r>
      <w:r>
        <w:t xml:space="preserve"> Nothwehr, Benjamin, Omar Akeileh, Diane Dyson. (2022). </w:t>
      </w:r>
      <w:r>
        <w:rPr>
          <w:i/>
          <w:iCs/>
        </w:rPr>
        <w:t>Who’s Hungry Report 2022: A Story of A System Under Strain</w:t>
      </w:r>
      <w:r>
        <w:t xml:space="preserve">. Daily Bread Food Bank. </w:t>
      </w:r>
      <w:hyperlink r:id="rId17" w:history="1">
        <w:r w:rsidRPr="00047B44">
          <w:rPr>
            <w:rStyle w:val="Hyperlink"/>
          </w:rPr>
          <w:t>https://www.dailybread.ca/wp-content/uploads/2022/11/DB-WhosHungryReport-2022-Digital-1.pdf</w:t>
        </w:r>
      </w:hyperlink>
      <w:r>
        <w:t>, p. 5.</w:t>
      </w:r>
    </w:p>
  </w:endnote>
  <w:endnote w:id="17">
    <w:p w14:paraId="475EFE27" w14:textId="25005635" w:rsidR="007D1E03" w:rsidRPr="00895A96" w:rsidRDefault="007D1E03">
      <w:pPr>
        <w:pStyle w:val="EndnoteText"/>
      </w:pPr>
      <w:r>
        <w:rPr>
          <w:rStyle w:val="EndnoteReference"/>
        </w:rPr>
        <w:endnoteRef/>
      </w:r>
      <w:r>
        <w:t xml:space="preserve"> Campbell, Shanta</w:t>
      </w:r>
      <w:r w:rsidRPr="00895A96">
        <w:rPr>
          <w:rStyle w:val="Emphasis"/>
          <w:i w:val="0"/>
          <w:iCs w:val="0"/>
          <w:color w:val="000000" w:themeColor="text1"/>
        </w:rPr>
        <w:t>é</w:t>
      </w:r>
      <w:r>
        <w:rPr>
          <w:rStyle w:val="Emphasis"/>
          <w:i w:val="0"/>
          <w:iCs w:val="0"/>
          <w:color w:val="000000" w:themeColor="text1"/>
        </w:rPr>
        <w:t>,</w:t>
      </w:r>
      <w:r>
        <w:rPr>
          <w:rStyle w:val="Emphasis"/>
          <w:color w:val="000000" w:themeColor="text1"/>
        </w:rPr>
        <w:t xml:space="preserve"> </w:t>
      </w:r>
      <w:r>
        <w:rPr>
          <w:rStyle w:val="Emphasis"/>
          <w:i w:val="0"/>
          <w:iCs w:val="0"/>
          <w:color w:val="000000" w:themeColor="text1"/>
        </w:rPr>
        <w:t xml:space="preserve">(2023, January 18). </w:t>
      </w:r>
      <w:r>
        <w:rPr>
          <w:rStyle w:val="Emphasis"/>
          <w:color w:val="000000" w:themeColor="text1"/>
        </w:rPr>
        <w:t>Average rent increased by 10.9% in 2022, report shows</w:t>
      </w:r>
      <w:r>
        <w:rPr>
          <w:rStyle w:val="Emphasis"/>
          <w:i w:val="0"/>
          <w:iCs w:val="0"/>
          <w:color w:val="000000" w:themeColor="text1"/>
        </w:rPr>
        <w:t xml:space="preserve">. Financial Post. </w:t>
      </w:r>
      <w:hyperlink r:id="rId18" w:history="1">
        <w:r w:rsidRPr="00047B44">
          <w:rPr>
            <w:rStyle w:val="Hyperlink"/>
          </w:rPr>
          <w:t>https://financialpost.com/real-estate/average-rent-increased-10-9-per-cent-2022</w:t>
        </w:r>
      </w:hyperlink>
      <w:r>
        <w:rPr>
          <w:rStyle w:val="Emphasis"/>
          <w:i w:val="0"/>
          <w:iCs w:val="0"/>
          <w:color w:val="000000" w:themeColor="text1"/>
        </w:rPr>
        <w:t xml:space="preserve">. </w:t>
      </w:r>
    </w:p>
  </w:endnote>
  <w:endnote w:id="18">
    <w:p w14:paraId="073548F3" w14:textId="49B39CA6" w:rsidR="007D1E03" w:rsidRPr="00B2404E" w:rsidRDefault="007D1E03">
      <w:pPr>
        <w:pStyle w:val="EndnoteText"/>
      </w:pPr>
      <w:r>
        <w:rPr>
          <w:rStyle w:val="EndnoteReference"/>
        </w:rPr>
        <w:endnoteRef/>
      </w:r>
      <w:r>
        <w:t xml:space="preserve"> Stephenson, Amanda</w:t>
      </w:r>
      <w:r w:rsidR="005A50DC">
        <w:t>.</w:t>
      </w:r>
      <w:r>
        <w:t xml:space="preserve"> (2022, December 22). </w:t>
      </w:r>
      <w:r>
        <w:rPr>
          <w:i/>
          <w:iCs/>
        </w:rPr>
        <w:t>How to protect yourself against ‘renoviction’ as rental markets heat up</w:t>
      </w:r>
      <w:r>
        <w:t xml:space="preserve">. The Globe and Mail. </w:t>
      </w:r>
      <w:hyperlink r:id="rId19" w:history="1">
        <w:r w:rsidRPr="00047B44">
          <w:rPr>
            <w:rStyle w:val="Hyperlink"/>
          </w:rPr>
          <w:t>https://www.theglobeandmail.com/investing/personal-finance/household-finances/article-how-to-protect-yourself-against-renoviction-as-rental-markets-heat-up/</w:t>
        </w:r>
      </w:hyperlink>
      <w:r>
        <w:t xml:space="preserve">. </w:t>
      </w:r>
    </w:p>
  </w:endnote>
  <w:endnote w:id="19">
    <w:p w14:paraId="4D9D59D7" w14:textId="22863F44" w:rsidR="007D1E03" w:rsidRPr="004D40E0" w:rsidRDefault="007D1E03">
      <w:pPr>
        <w:pStyle w:val="EndnoteText"/>
      </w:pPr>
      <w:r>
        <w:rPr>
          <w:rStyle w:val="EndnoteReference"/>
        </w:rPr>
        <w:endnoteRef/>
      </w:r>
      <w:r>
        <w:t xml:space="preserve"> Gibson, Victoria. (2022, November 29). </w:t>
      </w:r>
      <w:r>
        <w:rPr>
          <w:i/>
          <w:iCs/>
        </w:rPr>
        <w:t>As rents soar, more Toronto landlords are moving to evict renters for their own use</w:t>
      </w:r>
      <w:r>
        <w:t xml:space="preserve">. Toronto Star. </w:t>
      </w:r>
      <w:hyperlink r:id="rId20" w:history="1">
        <w:r w:rsidRPr="00047B44">
          <w:rPr>
            <w:rStyle w:val="Hyperlink"/>
          </w:rPr>
          <w:t>https://www.thestar.com/news/gta/2022/11/29/why-more-toronto-landlords-are-moving-to-evict-renters-from-units-for-their-own-use.html</w:t>
        </w:r>
      </w:hyperlink>
      <w:r>
        <w:t xml:space="preserve">. </w:t>
      </w:r>
    </w:p>
  </w:endnote>
  <w:endnote w:id="20">
    <w:p w14:paraId="544CBC06" w14:textId="0A8D5789" w:rsidR="007D1E03" w:rsidRPr="00BC6D9B" w:rsidRDefault="007D1E03" w:rsidP="00A934C7">
      <w:pPr>
        <w:pStyle w:val="EndnoteText"/>
      </w:pPr>
      <w:r w:rsidRPr="00BC6D9B">
        <w:rPr>
          <w:rStyle w:val="EndnoteReference"/>
        </w:rPr>
        <w:endnoteRef/>
      </w:r>
      <w:r w:rsidRPr="00BC6D9B">
        <w:t xml:space="preserve"> Centre for Equality Rights in Accommodations and The National Right to Housing Network</w:t>
      </w:r>
      <w:r w:rsidR="005A50DC">
        <w:t>.</w:t>
      </w:r>
      <w:r w:rsidRPr="00BC6D9B">
        <w:t xml:space="preserve"> (2021). </w:t>
      </w:r>
      <w:r w:rsidRPr="00BC6D9B">
        <w:rPr>
          <w:i/>
          <w:iCs/>
        </w:rPr>
        <w:t>Addressing the Evictions and Arrears Crisis: Proposal for a Federal Government Residential Tenant Support Benefit</w:t>
      </w:r>
      <w:r w:rsidRPr="00BC6D9B">
        <w:t xml:space="preserve">. </w:t>
      </w:r>
      <w:hyperlink r:id="rId21" w:history="1">
        <w:r w:rsidRPr="00BC6D9B">
          <w:rPr>
            <w:rStyle w:val="Hyperlink"/>
          </w:rPr>
          <w:t>https://static1.squarespace.com/static/5e3aed3ea511ae64f3150214/t/602ef583b5ce4e1d85ec0a23/1613690538665/NHSA+Submission+-+Addressing+the++Arrears+and+Evictions+Crisis+-+CERA-NRHN-Feb.18.2021.pdf</w:t>
        </w:r>
      </w:hyperlink>
      <w:r w:rsidRPr="00BC6D9B">
        <w:t xml:space="preserve">, </w:t>
      </w:r>
      <w:r>
        <w:t xml:space="preserve">pp. </w:t>
      </w:r>
      <w:r w:rsidRPr="00BC6D9B">
        <w:t xml:space="preserve">9-10. </w:t>
      </w:r>
    </w:p>
  </w:endnote>
  <w:endnote w:id="21">
    <w:p w14:paraId="7A5999B0" w14:textId="47074378" w:rsidR="007D1E03" w:rsidRPr="004B2A52" w:rsidRDefault="007D1E03" w:rsidP="00353280">
      <w:pPr>
        <w:pStyle w:val="EndnoteText"/>
      </w:pPr>
      <w:r>
        <w:rPr>
          <w:rStyle w:val="EndnoteReference"/>
        </w:rPr>
        <w:endnoteRef/>
      </w:r>
      <w:r>
        <w:t xml:space="preserve"> Dalhousie University, University of Guelph, The University of British Columbia and the University of Saskatchewan. (2022). </w:t>
      </w:r>
      <w:r>
        <w:rPr>
          <w:i/>
          <w:iCs/>
        </w:rPr>
        <w:t>Canada’s Food Price Report 2023.</w:t>
      </w:r>
      <w:r>
        <w:t xml:space="preserve"> </w:t>
      </w:r>
      <w:hyperlink r:id="rId22" w:history="1">
        <w:r w:rsidRPr="00047B44">
          <w:rPr>
            <w:rStyle w:val="Hyperlink"/>
          </w:rPr>
          <w:t>https://cdn.dal.ca/content/dam/dalhousie/pdf/sites/agri-food/Canada%27s%20Food%20Price%20Report%202023_Digital.pdf</w:t>
        </w:r>
      </w:hyperlink>
      <w:r>
        <w:t>, pp. 6-7, 9.</w:t>
      </w:r>
    </w:p>
  </w:endnote>
  <w:endnote w:id="22">
    <w:p w14:paraId="000AC79C" w14:textId="6B63E454" w:rsidR="007D1E03" w:rsidRPr="003B3211" w:rsidRDefault="007D1E03">
      <w:pPr>
        <w:pStyle w:val="EndnoteText"/>
      </w:pPr>
      <w:r>
        <w:rPr>
          <w:rStyle w:val="EndnoteReference"/>
        </w:rPr>
        <w:endnoteRef/>
      </w:r>
      <w:r>
        <w:t xml:space="preserve"> King, Amanda and Ashley Quan</w:t>
      </w:r>
      <w:r w:rsidR="005A50DC">
        <w:t>.</w:t>
      </w:r>
      <w:r>
        <w:t xml:space="preserve"> (2022). </w:t>
      </w:r>
      <w:r>
        <w:rPr>
          <w:i/>
          <w:iCs/>
        </w:rPr>
        <w:t>Hunger Report 2022: The Deepening Cracks in Ontario’s Economic Foundation</w:t>
      </w:r>
      <w:r>
        <w:t>.</w:t>
      </w:r>
      <w:r w:rsidRPr="003B3211">
        <w:t xml:space="preserve"> </w:t>
      </w:r>
      <w:hyperlink r:id="rId23" w:history="1">
        <w:r w:rsidRPr="00047B44">
          <w:rPr>
            <w:rStyle w:val="Hyperlink"/>
          </w:rPr>
          <w:t>https://feedontario.ca/wp-content/uploads/2022/11/Hunger-Report-2022-Final.pdf</w:t>
        </w:r>
      </w:hyperlink>
      <w:r>
        <w:t>, p. 5.</w:t>
      </w:r>
    </w:p>
  </w:endnote>
  <w:endnote w:id="23">
    <w:p w14:paraId="2AB29BCA" w14:textId="723B683E" w:rsidR="007D1E03" w:rsidRDefault="007D1E03">
      <w:pPr>
        <w:pStyle w:val="EndnoteText"/>
      </w:pPr>
      <w:r>
        <w:rPr>
          <w:rStyle w:val="EndnoteReference"/>
        </w:rPr>
        <w:endnoteRef/>
      </w:r>
      <w:r>
        <w:t xml:space="preserve"> King, Amanda and Ashley Quan</w:t>
      </w:r>
      <w:r w:rsidR="005A50DC">
        <w:t>.</w:t>
      </w:r>
      <w:r>
        <w:t xml:space="preserve"> (2022). </w:t>
      </w:r>
      <w:r>
        <w:rPr>
          <w:i/>
          <w:iCs/>
        </w:rPr>
        <w:t>Hunger Report 2022: The Deepening Cracks in Ontario’s Economic Foundation</w:t>
      </w:r>
      <w:r>
        <w:t>.</w:t>
      </w:r>
      <w:r w:rsidRPr="003B3211">
        <w:t xml:space="preserve"> </w:t>
      </w:r>
      <w:hyperlink r:id="rId24" w:history="1">
        <w:r w:rsidRPr="00047B44">
          <w:rPr>
            <w:rStyle w:val="Hyperlink"/>
          </w:rPr>
          <w:t>https://feedontario.ca/wp-content/uploads/2022/11/Hunger-Report-2022-Final.pdf</w:t>
        </w:r>
      </w:hyperlink>
      <w:r>
        <w:t>, p.14</w:t>
      </w:r>
    </w:p>
  </w:endnote>
  <w:endnote w:id="24">
    <w:p w14:paraId="7CA393E6" w14:textId="2B72AA45" w:rsidR="00AF74AA" w:rsidRDefault="00AF74AA" w:rsidP="00AF74AA">
      <w:pPr>
        <w:pStyle w:val="EndnoteText"/>
      </w:pPr>
      <w:r>
        <w:rPr>
          <w:rStyle w:val="EndnoteReference"/>
        </w:rPr>
        <w:endnoteRef/>
      </w:r>
      <w:r>
        <w:t xml:space="preserve"> King, Amanda and Ashley Quan</w:t>
      </w:r>
      <w:r w:rsidR="005A50DC">
        <w:t xml:space="preserve">. </w:t>
      </w:r>
      <w:r>
        <w:t xml:space="preserve">(2022). </w:t>
      </w:r>
      <w:r>
        <w:rPr>
          <w:i/>
          <w:iCs/>
        </w:rPr>
        <w:t>Hunger Report 2022: The Deepening Cracks in Ontario’s Economic Foundation</w:t>
      </w:r>
      <w:r>
        <w:t>.</w:t>
      </w:r>
      <w:r w:rsidRPr="003B3211">
        <w:t xml:space="preserve"> </w:t>
      </w:r>
      <w:hyperlink r:id="rId25" w:history="1">
        <w:r w:rsidRPr="00047B44">
          <w:rPr>
            <w:rStyle w:val="Hyperlink"/>
          </w:rPr>
          <w:t>https://feedontario.ca/wp-content/uploads/2022/11/Hunger-Report-2022-Final.pdf</w:t>
        </w:r>
      </w:hyperlink>
      <w:r>
        <w:t>, pp.15, 23.</w:t>
      </w:r>
    </w:p>
  </w:endnote>
  <w:endnote w:id="25">
    <w:p w14:paraId="2A6DD385" w14:textId="77777777" w:rsidR="00AF74AA" w:rsidRDefault="00AF74AA" w:rsidP="00AF74AA">
      <w:pPr>
        <w:pStyle w:val="EndnoteText"/>
      </w:pPr>
      <w:r>
        <w:rPr>
          <w:rStyle w:val="EndnoteReference"/>
        </w:rPr>
        <w:endnoteRef/>
      </w:r>
      <w:r>
        <w:t xml:space="preserve"> Nothwehr, Benjamin, Omar Akeileh, Diane Dyson. (2022). </w:t>
      </w:r>
      <w:r>
        <w:rPr>
          <w:i/>
          <w:iCs/>
        </w:rPr>
        <w:t>Who’s Hungry Report 2022: A Story of A System Under Strain</w:t>
      </w:r>
      <w:r>
        <w:t xml:space="preserve">. Daily Bread Food Bank. </w:t>
      </w:r>
      <w:hyperlink r:id="rId26" w:history="1">
        <w:r w:rsidRPr="00047B44">
          <w:rPr>
            <w:rStyle w:val="Hyperlink"/>
          </w:rPr>
          <w:t>https://www.dailybread.ca/wp-content/uploads/2022/11/DB-WhosHungryReport-2022-Digital-1.pdf</w:t>
        </w:r>
      </w:hyperlink>
      <w:r>
        <w:t>, p. 20.</w:t>
      </w:r>
    </w:p>
  </w:endnote>
  <w:endnote w:id="26">
    <w:p w14:paraId="72D8F7DB" w14:textId="64347E46" w:rsidR="007D1E03" w:rsidRDefault="007D1E03">
      <w:pPr>
        <w:pStyle w:val="EndnoteText"/>
      </w:pPr>
      <w:r>
        <w:rPr>
          <w:rStyle w:val="EndnoteReference"/>
        </w:rPr>
        <w:endnoteRef/>
      </w:r>
      <w:r>
        <w:t xml:space="preserve"> Nothwehr, Benjamin, Omar Akeileh, Diane Dyson. (2022). </w:t>
      </w:r>
      <w:r>
        <w:rPr>
          <w:i/>
          <w:iCs/>
        </w:rPr>
        <w:t>Who’s Hungry Report 2022: A Story of A System Under Strain</w:t>
      </w:r>
      <w:r>
        <w:t xml:space="preserve">. Daily Bread Food Bank. </w:t>
      </w:r>
      <w:hyperlink r:id="rId27" w:history="1">
        <w:r w:rsidRPr="00047B44">
          <w:rPr>
            <w:rStyle w:val="Hyperlink"/>
          </w:rPr>
          <w:t>https://www.dailybread.ca/wp-content/uploads/2022/11/DB-WhosHungryReport-2022-Digital-1.pdf</w:t>
        </w:r>
      </w:hyperlink>
      <w:r>
        <w:t>, pp. 6-7, 19-20, 24-25.</w:t>
      </w:r>
    </w:p>
  </w:endnote>
  <w:endnote w:id="27">
    <w:p w14:paraId="2CEE33C7" w14:textId="68FAF381" w:rsidR="007D1E03" w:rsidRDefault="007D1E03">
      <w:pPr>
        <w:pStyle w:val="EndnoteText"/>
      </w:pPr>
      <w:r>
        <w:rPr>
          <w:rStyle w:val="EndnoteReference"/>
        </w:rPr>
        <w:endnoteRef/>
      </w:r>
      <w:r>
        <w:t xml:space="preserve"> King, Amanda and Ashley Quan</w:t>
      </w:r>
      <w:r w:rsidR="005A50DC">
        <w:t>.</w:t>
      </w:r>
      <w:r>
        <w:t xml:space="preserve"> (2022). </w:t>
      </w:r>
      <w:r>
        <w:rPr>
          <w:i/>
          <w:iCs/>
        </w:rPr>
        <w:t>Hunger Report 2022: The Deepening Cracks in Ontario’s Economic Foundation</w:t>
      </w:r>
      <w:r>
        <w:t>.</w:t>
      </w:r>
      <w:r w:rsidRPr="003B3211">
        <w:t xml:space="preserve"> </w:t>
      </w:r>
      <w:hyperlink r:id="rId28" w:history="1">
        <w:r w:rsidRPr="00047B44">
          <w:rPr>
            <w:rStyle w:val="Hyperlink"/>
          </w:rPr>
          <w:t>https://feedontario.ca/wp-content/uploads/2022/11/Hunger-Report-2022-Final.pdf</w:t>
        </w:r>
      </w:hyperlink>
      <w:r>
        <w:t xml:space="preserve">, p. 19 </w:t>
      </w:r>
    </w:p>
  </w:endnote>
  <w:endnote w:id="28">
    <w:p w14:paraId="1ED0C828" w14:textId="18C7BA38" w:rsidR="007D1E03" w:rsidRDefault="007D1E03">
      <w:pPr>
        <w:pStyle w:val="EndnoteText"/>
      </w:pPr>
      <w:r>
        <w:rPr>
          <w:rStyle w:val="EndnoteReference"/>
        </w:rPr>
        <w:endnoteRef/>
      </w:r>
      <w:r>
        <w:t xml:space="preserve"> Nothwehr, Benjamin, Omar Akeileh, Diane Dyson. (2022). </w:t>
      </w:r>
      <w:r>
        <w:rPr>
          <w:i/>
          <w:iCs/>
        </w:rPr>
        <w:t>Who’s Hungry Report 2022: A Story of A System Under Strain</w:t>
      </w:r>
      <w:r>
        <w:t xml:space="preserve">. Daily Bread Food Bank. </w:t>
      </w:r>
      <w:hyperlink r:id="rId29" w:history="1">
        <w:r w:rsidRPr="00047B44">
          <w:rPr>
            <w:rStyle w:val="Hyperlink"/>
          </w:rPr>
          <w:t>https://www.dailybread.ca/wp-content/uploads/2022/11/DB-WhosHungryReport-2022-Digital-1.pdf</w:t>
        </w:r>
      </w:hyperlink>
      <w:r>
        <w:t>, pp. 21-22.</w:t>
      </w:r>
    </w:p>
  </w:endnote>
  <w:endnote w:id="29">
    <w:p w14:paraId="0C5DE5F3" w14:textId="7E5C7EEA" w:rsidR="007D1E03" w:rsidRPr="00BC6D9B" w:rsidRDefault="007D1E03" w:rsidP="00A934C7">
      <w:pPr>
        <w:pStyle w:val="EndnoteText"/>
      </w:pPr>
      <w:r w:rsidRPr="00BC6D9B">
        <w:rPr>
          <w:rStyle w:val="EndnoteReference"/>
        </w:rPr>
        <w:endnoteRef/>
      </w:r>
      <w:r w:rsidRPr="00193523">
        <w:rPr>
          <w:lang w:val="fr-CA"/>
        </w:rPr>
        <w:t xml:space="preserve"> Dumais, Lucie, Alexandra Prohet, and Marie-</w:t>
      </w:r>
      <w:r w:rsidRPr="00193523">
        <w:rPr>
          <w:color w:val="000000"/>
          <w:shd w:val="clear" w:color="auto" w:fill="FFFFFF"/>
          <w:lang w:val="fr-CA"/>
        </w:rPr>
        <w:t>Noëlle Ducharme</w:t>
      </w:r>
      <w:r w:rsidR="005A50DC">
        <w:rPr>
          <w:color w:val="000000"/>
          <w:shd w:val="clear" w:color="auto" w:fill="FFFFFF"/>
          <w:lang w:val="fr-CA"/>
        </w:rPr>
        <w:t>.</w:t>
      </w:r>
      <w:r w:rsidRPr="00193523">
        <w:rPr>
          <w:color w:val="000000"/>
          <w:shd w:val="clear" w:color="auto" w:fill="FFFFFF"/>
          <w:lang w:val="fr-CA"/>
        </w:rPr>
        <w:t xml:space="preserve"> </w:t>
      </w:r>
      <w:r w:rsidRPr="002432CD">
        <w:rPr>
          <w:color w:val="000000"/>
          <w:shd w:val="clear" w:color="auto" w:fill="FFFFFF"/>
          <w:lang w:val="en-US"/>
        </w:rPr>
        <w:t xml:space="preserve">(2015). </w:t>
      </w:r>
      <w:r w:rsidRPr="00427430">
        <w:rPr>
          <w:i/>
          <w:iCs/>
          <w:color w:val="000000"/>
          <w:shd w:val="clear" w:color="auto" w:fill="FFFFFF"/>
        </w:rPr>
        <w:t>Review of Extra Costs Linked to Disability.</w:t>
      </w:r>
      <w:r w:rsidRPr="00BC6D9B">
        <w:rPr>
          <w:color w:val="000000"/>
          <w:shd w:val="clear" w:color="auto" w:fill="FFFFFF"/>
        </w:rPr>
        <w:t xml:space="preserve"> </w:t>
      </w:r>
      <w:r w:rsidRPr="00427430">
        <w:rPr>
          <w:color w:val="000000"/>
          <w:shd w:val="clear" w:color="auto" w:fill="FFFFFF"/>
        </w:rPr>
        <w:t>Council of Canadians with Disabilities</w:t>
      </w:r>
      <w:r w:rsidRPr="00BC6D9B">
        <w:rPr>
          <w:color w:val="000000"/>
          <w:shd w:val="clear" w:color="auto" w:fill="FFFFFF"/>
        </w:rPr>
        <w:t xml:space="preserve">. </w:t>
      </w:r>
      <w:hyperlink r:id="rId30" w:history="1">
        <w:r w:rsidRPr="00BC6D9B">
          <w:rPr>
            <w:rStyle w:val="Hyperlink"/>
            <w:shd w:val="clear" w:color="auto" w:fill="FFFFFF"/>
          </w:rPr>
          <w:t>http://www.ccdonline.ca/en/socialpolicy/poverty-citizenship/income-security-reform/extra-costs-linked-to-disability</w:t>
        </w:r>
      </w:hyperlink>
      <w:r w:rsidRPr="00BC6D9B">
        <w:rPr>
          <w:color w:val="000000"/>
          <w:shd w:val="clear" w:color="auto" w:fill="FFFFFF"/>
        </w:rPr>
        <w:t>.</w:t>
      </w:r>
    </w:p>
  </w:endnote>
  <w:endnote w:id="30">
    <w:p w14:paraId="34702D9E" w14:textId="03AF22DC" w:rsidR="007D1E03" w:rsidRDefault="007D1E03">
      <w:pPr>
        <w:pStyle w:val="EndnoteText"/>
      </w:pPr>
      <w:r>
        <w:rPr>
          <w:rStyle w:val="EndnoteReference"/>
        </w:rPr>
        <w:endnoteRef/>
      </w:r>
      <w:r>
        <w:t xml:space="preserve"> Nothwehr, Benjamin, Omar Akeileh, Diane Dyson. (2022). </w:t>
      </w:r>
      <w:r>
        <w:rPr>
          <w:i/>
          <w:iCs/>
        </w:rPr>
        <w:t>Who’s Hungry Report 2022: A Story of A System Under Strain</w:t>
      </w:r>
      <w:r>
        <w:t xml:space="preserve">. Daily Bread Food Bank. </w:t>
      </w:r>
      <w:hyperlink r:id="rId31" w:history="1">
        <w:r w:rsidRPr="00047B44">
          <w:rPr>
            <w:rStyle w:val="Hyperlink"/>
          </w:rPr>
          <w:t>https://www.dailybread.ca/wp-content/uploads/2022/11/DB-WhosHungryReport-2022-Digital-1.pdf</w:t>
        </w:r>
      </w:hyperlink>
      <w:r>
        <w:t>, pp. 16, 18.</w:t>
      </w:r>
    </w:p>
  </w:endnote>
  <w:endnote w:id="31">
    <w:p w14:paraId="1871316A" w14:textId="126B0FA5" w:rsidR="007D1E03" w:rsidRDefault="007D1E03">
      <w:pPr>
        <w:pStyle w:val="EndnoteText"/>
      </w:pPr>
      <w:r>
        <w:rPr>
          <w:rStyle w:val="EndnoteReference"/>
        </w:rPr>
        <w:endnoteRef/>
      </w:r>
      <w:r>
        <w:t xml:space="preserve"> Nothwehr, Benjamin, Omar Akeileh, Diane Dyson. (2022). </w:t>
      </w:r>
      <w:r>
        <w:rPr>
          <w:i/>
          <w:iCs/>
        </w:rPr>
        <w:t>Who’s Hungry Report 2022: A Story of A System Under Strain</w:t>
      </w:r>
      <w:r>
        <w:t xml:space="preserve">. Daily Bread Food Bank. </w:t>
      </w:r>
      <w:hyperlink r:id="rId32" w:history="1">
        <w:r w:rsidRPr="00047B44">
          <w:rPr>
            <w:rStyle w:val="Hyperlink"/>
          </w:rPr>
          <w:t>https://www.dailybread.ca/wp-content/uploads/2022/11/DB-WhosHungryReport-2022-Digital-1.pdf</w:t>
        </w:r>
      </w:hyperlink>
      <w:r>
        <w:t>, p. 8.</w:t>
      </w:r>
    </w:p>
  </w:endnote>
  <w:endnote w:id="32">
    <w:p w14:paraId="220F9A99" w14:textId="41A29C03" w:rsidR="007D1E03" w:rsidRPr="00BC6D9B" w:rsidRDefault="007D1E03" w:rsidP="00597C53">
      <w:pPr>
        <w:pStyle w:val="EndnoteText"/>
      </w:pPr>
      <w:r w:rsidRPr="00BC6D9B">
        <w:rPr>
          <w:rStyle w:val="EndnoteReference"/>
        </w:rPr>
        <w:endnoteRef/>
      </w:r>
      <w:r w:rsidRPr="00BC6D9B">
        <w:t xml:space="preserve"> </w:t>
      </w:r>
      <w:r w:rsidRPr="00BC6D9B">
        <w:rPr>
          <w:color w:val="1A1718"/>
          <w:lang w:eastAsia="en-CA"/>
        </w:rPr>
        <w:t>Tarasuk</w:t>
      </w:r>
      <w:r>
        <w:rPr>
          <w:color w:val="1A1718"/>
          <w:lang w:eastAsia="en-CA"/>
        </w:rPr>
        <w:t xml:space="preserve"> V, Li T, Fafar St-Germain AA</w:t>
      </w:r>
      <w:r w:rsidRPr="00BC6D9B">
        <w:rPr>
          <w:color w:val="1A1718"/>
          <w:lang w:eastAsia="en-CA"/>
        </w:rPr>
        <w:t>.</w:t>
      </w:r>
      <w:r>
        <w:rPr>
          <w:color w:val="1A1718"/>
          <w:lang w:eastAsia="en-CA"/>
        </w:rPr>
        <w:t xml:space="preserve"> </w:t>
      </w:r>
      <w:r w:rsidRPr="00BC6D9B">
        <w:rPr>
          <w:color w:val="1A1718"/>
          <w:lang w:eastAsia="en-CA"/>
        </w:rPr>
        <w:t>(202</w:t>
      </w:r>
      <w:r>
        <w:rPr>
          <w:color w:val="1A1718"/>
          <w:lang w:eastAsia="en-CA"/>
        </w:rPr>
        <w:t>2</w:t>
      </w:r>
      <w:r w:rsidRPr="00BC6D9B">
        <w:rPr>
          <w:color w:val="1A1718"/>
          <w:lang w:eastAsia="en-CA"/>
        </w:rPr>
        <w:t xml:space="preserve">). </w:t>
      </w:r>
      <w:r w:rsidRPr="00BC6D9B">
        <w:rPr>
          <w:i/>
          <w:color w:val="1A1718"/>
          <w:lang w:eastAsia="en-CA"/>
        </w:rPr>
        <w:t>Household food insecurity in Canada</w:t>
      </w:r>
      <w:r>
        <w:rPr>
          <w:i/>
          <w:color w:val="1A1718"/>
          <w:lang w:eastAsia="en-CA"/>
        </w:rPr>
        <w:t xml:space="preserve">. </w:t>
      </w:r>
      <w:r>
        <w:rPr>
          <w:iCs/>
          <w:color w:val="1A1718"/>
          <w:lang w:eastAsia="en-CA"/>
        </w:rPr>
        <w:t xml:space="preserve">Toronto: </w:t>
      </w:r>
      <w:r w:rsidRPr="00BC6D9B">
        <w:rPr>
          <w:color w:val="1A1718"/>
          <w:lang w:eastAsia="en-CA"/>
        </w:rPr>
        <w:t xml:space="preserve">Research to identify policy options to reduce food insecurity (PROOF). </w:t>
      </w:r>
      <w:hyperlink r:id="rId33" w:history="1">
        <w:r w:rsidRPr="00047B44">
          <w:rPr>
            <w:rStyle w:val="Hyperlink"/>
          </w:rPr>
          <w:t>https://proof.utoronto.ca/wp-content/uploads/2022/08/Household-Food-Insecurity-in-Canada-2021-PROOF.pdf</w:t>
        </w:r>
      </w:hyperlink>
      <w:r>
        <w:t xml:space="preserve">, p. </w:t>
      </w:r>
      <w:r>
        <w:rPr>
          <w:color w:val="1A1718"/>
          <w:lang w:eastAsia="en-CA"/>
        </w:rPr>
        <w:t>7</w:t>
      </w:r>
      <w:r w:rsidRPr="00BC6D9B">
        <w:rPr>
          <w:color w:val="1A1718"/>
          <w:lang w:eastAsia="en-CA"/>
        </w:rPr>
        <w:t>.</w:t>
      </w:r>
    </w:p>
  </w:endnote>
  <w:endnote w:id="33">
    <w:p w14:paraId="6D1049D6" w14:textId="77777777" w:rsidR="007D1E03" w:rsidRPr="00BC6D9B" w:rsidRDefault="007D1E03" w:rsidP="00253C42">
      <w:pPr>
        <w:pStyle w:val="EndnoteText"/>
        <w:rPr>
          <w:highlight w:val="yellow"/>
        </w:rPr>
      </w:pPr>
      <w:r w:rsidRPr="00BC6D9B">
        <w:rPr>
          <w:rStyle w:val="EndnoteReference"/>
        </w:rPr>
        <w:endnoteRef/>
      </w:r>
      <w:r w:rsidRPr="00BC6D9B">
        <w:t xml:space="preserve"> Government of Ontario. (2023). </w:t>
      </w:r>
      <w:r w:rsidRPr="00BC6D9B">
        <w:rPr>
          <w:i/>
          <w:iCs/>
        </w:rPr>
        <w:t xml:space="preserve">Social assistance and caseload statistics. </w:t>
      </w:r>
      <w:r w:rsidRPr="00BC6D9B">
        <w:t xml:space="preserve">Retrieved from Government of Ontario website: </w:t>
      </w:r>
      <w:hyperlink r:id="rId34" w:history="1">
        <w:r w:rsidRPr="00BC6D9B">
          <w:rPr>
            <w:rStyle w:val="Hyperlink"/>
          </w:rPr>
          <w:t>https://www.ontario.ca/page/social-assistance-and-caseload-statistics</w:t>
        </w:r>
      </w:hyperlink>
      <w:r w:rsidRPr="00BC6D9B">
        <w:t xml:space="preserve">. </w:t>
      </w:r>
    </w:p>
  </w:endnote>
  <w:endnote w:id="34">
    <w:p w14:paraId="24ED851D" w14:textId="1792F079" w:rsidR="007D1E03" w:rsidRPr="00BC6D9B" w:rsidRDefault="007D1E03" w:rsidP="00253C42">
      <w:pPr>
        <w:pStyle w:val="EndnoteText"/>
      </w:pPr>
      <w:r w:rsidRPr="00BC6D9B">
        <w:rPr>
          <w:rStyle w:val="EndnoteReference"/>
        </w:rPr>
        <w:endnoteRef/>
      </w:r>
      <w:r w:rsidRPr="00BC6D9B">
        <w:t xml:space="preserve"> Treasury Board Secretariat of Ontario. (2020). </w:t>
      </w:r>
      <w:r w:rsidRPr="00BC6D9B">
        <w:rPr>
          <w:i/>
          <w:iCs/>
        </w:rPr>
        <w:t>Public Accounts of Ontario: Ministry Statements and Schedules 2019-2020</w:t>
      </w:r>
      <w:r w:rsidRPr="00BC6D9B">
        <w:t xml:space="preserve">. Retrieved from Government of Ontario website: </w:t>
      </w:r>
      <w:hyperlink r:id="rId35" w:history="1">
        <w:r w:rsidRPr="00BC6D9B">
          <w:rPr>
            <w:rStyle w:val="Hyperlink"/>
          </w:rPr>
          <w:t>https://files.ontario.ca/tbs-public-accounts-2019-20-ministry-statements-schedules-en-2020-09-23.pdf</w:t>
        </w:r>
      </w:hyperlink>
      <w:r>
        <w:t>, p.</w:t>
      </w:r>
      <w:r w:rsidRPr="00BC6D9B">
        <w:t>2-71</w:t>
      </w:r>
      <w:r>
        <w:t>.</w:t>
      </w:r>
    </w:p>
  </w:endnote>
  <w:endnote w:id="35">
    <w:p w14:paraId="103FA219" w14:textId="0893DEB5" w:rsidR="007D1E03" w:rsidRDefault="007D1E03">
      <w:pPr>
        <w:pStyle w:val="EndnoteText"/>
      </w:pPr>
      <w:r>
        <w:rPr>
          <w:rStyle w:val="EndnoteReference"/>
        </w:rPr>
        <w:endnoteRef/>
      </w:r>
      <w:r>
        <w:t xml:space="preserve"> </w:t>
      </w:r>
      <w:r w:rsidRPr="00BC6D9B">
        <w:t>Treasury Board Secretariat of Ontario. (202</w:t>
      </w:r>
      <w:r>
        <w:t>1</w:t>
      </w:r>
      <w:r w:rsidRPr="00BC6D9B">
        <w:t xml:space="preserve">). </w:t>
      </w:r>
      <w:r w:rsidRPr="00BC6D9B">
        <w:rPr>
          <w:i/>
          <w:iCs/>
        </w:rPr>
        <w:t>Public Accounts of Ontario: Ministry Statements and Schedules 2020-2021</w:t>
      </w:r>
      <w:r w:rsidRPr="00BC6D9B">
        <w:t xml:space="preserve">. Retrieved from Government of Ontario website:  </w:t>
      </w:r>
      <w:hyperlink r:id="rId36" w:history="1">
        <w:r w:rsidRPr="00BC6D9B">
          <w:rPr>
            <w:rStyle w:val="Hyperlink"/>
          </w:rPr>
          <w:t>https://files.ontario.ca/tbs-public-accounts-2020-21-ministry-statements-schedules-en-2021-09-23-v3a.pdf</w:t>
        </w:r>
      </w:hyperlink>
      <w:r>
        <w:t>, p.</w:t>
      </w:r>
      <w:r w:rsidRPr="00BC6D9B">
        <w:t>2-73</w:t>
      </w:r>
    </w:p>
  </w:endnote>
  <w:endnote w:id="36">
    <w:p w14:paraId="37D62C0A" w14:textId="6AF87CF0" w:rsidR="007D1E03" w:rsidRDefault="007D1E03">
      <w:pPr>
        <w:pStyle w:val="EndnoteText"/>
      </w:pPr>
      <w:r>
        <w:rPr>
          <w:rStyle w:val="EndnoteReference"/>
        </w:rPr>
        <w:endnoteRef/>
      </w:r>
      <w:r>
        <w:t xml:space="preserve"> </w:t>
      </w:r>
      <w:r w:rsidRPr="00BC6D9B">
        <w:t xml:space="preserve">Treasury Board Secretariat of Ontario. (2022). </w:t>
      </w:r>
      <w:r w:rsidRPr="00BC6D9B">
        <w:rPr>
          <w:i/>
          <w:iCs/>
        </w:rPr>
        <w:t>Public Accounts of Ontario: Ministry Statements and Schedules 2021-2022</w:t>
      </w:r>
      <w:r w:rsidRPr="00BC6D9B">
        <w:t xml:space="preserve">. Retrieved from Government of Ontario website:  </w:t>
      </w:r>
      <w:hyperlink r:id="rId37" w:history="1">
        <w:r w:rsidRPr="00BC6D9B">
          <w:rPr>
            <w:rStyle w:val="Hyperlink"/>
          </w:rPr>
          <w:t>https://www.ontario.ca/files/2022-09/tbs-public-accounts-2021-22-ministry-statements-schedules-en-2022-09-23-v2.pdf</w:t>
        </w:r>
      </w:hyperlink>
      <w:r>
        <w:t xml:space="preserve">,p. </w:t>
      </w:r>
      <w:r w:rsidRPr="00BC6D9B">
        <w:t>2-79</w:t>
      </w:r>
      <w:r>
        <w:t>.</w:t>
      </w:r>
    </w:p>
  </w:endnote>
  <w:endnote w:id="37">
    <w:p w14:paraId="561571B7" w14:textId="3D7DDC28" w:rsidR="00475C47" w:rsidRPr="00475C47" w:rsidRDefault="00475C47" w:rsidP="00475C47">
      <w:pPr>
        <w:pStyle w:val="EndnoteText"/>
      </w:pPr>
      <w:r>
        <w:rPr>
          <w:rStyle w:val="EndnoteReference"/>
        </w:rPr>
        <w:endnoteRef/>
      </w:r>
      <w:r>
        <w:t xml:space="preserve"> Financial Accountability Office</w:t>
      </w:r>
      <w:r w:rsidR="005A50DC">
        <w:t>.</w:t>
      </w:r>
      <w:r>
        <w:t xml:space="preserve"> (2023). </w:t>
      </w:r>
      <w:r>
        <w:rPr>
          <w:i/>
          <w:iCs/>
        </w:rPr>
        <w:t>Economic and Budget Outlook, Winter 2023</w:t>
      </w:r>
      <w:r>
        <w:t xml:space="preserve">. </w:t>
      </w:r>
      <w:hyperlink r:id="rId38" w:history="1">
        <w:r w:rsidRPr="00EB6372">
          <w:rPr>
            <w:rStyle w:val="Hyperlink"/>
          </w:rPr>
          <w:t>https://www.fao-on.org/en/Blog/Publications/EBO-WI2023</w:t>
        </w:r>
      </w:hyperlink>
      <w:r>
        <w:t xml:space="preserve">. </w:t>
      </w:r>
    </w:p>
  </w:endnote>
  <w:endnote w:id="38">
    <w:p w14:paraId="0FEB28C7" w14:textId="2073BBD5" w:rsidR="007D1E03" w:rsidRPr="00BC6D9B" w:rsidRDefault="007D1E03" w:rsidP="00253C42">
      <w:pPr>
        <w:pStyle w:val="EndnoteText"/>
      </w:pPr>
      <w:r w:rsidRPr="00BC6D9B">
        <w:rPr>
          <w:rStyle w:val="EndnoteReference"/>
        </w:rPr>
        <w:endnoteRef/>
      </w:r>
      <w:r w:rsidRPr="00BC6D9B">
        <w:t xml:space="preserve"> </w:t>
      </w:r>
      <w:r>
        <w:t xml:space="preserve">Government of </w:t>
      </w:r>
      <w:r w:rsidRPr="00BC6D9B">
        <w:t>Ontario</w:t>
      </w:r>
      <w:r w:rsidR="005A50DC">
        <w:t>.</w:t>
      </w:r>
      <w:r w:rsidRPr="00BC6D9B">
        <w:t xml:space="preserve"> (2021). </w:t>
      </w:r>
      <w:r w:rsidRPr="00BC6D9B">
        <w:rPr>
          <w:i/>
          <w:iCs/>
        </w:rPr>
        <w:t>Recovery &amp; Renewal: Ontario’s Vision for Social Assistance</w:t>
      </w:r>
      <w:r w:rsidRPr="00BC6D9B">
        <w:t xml:space="preserve">. </w:t>
      </w:r>
      <w:r>
        <w:t>Retrieved  from Government of Ontario website:</w:t>
      </w:r>
      <w:r w:rsidRPr="00BC6D9B">
        <w:t xml:space="preserve"> </w:t>
      </w:r>
      <w:hyperlink r:id="rId39" w:history="1">
        <w:r w:rsidRPr="00BC6D9B">
          <w:rPr>
            <w:rStyle w:val="Hyperlink"/>
          </w:rPr>
          <w:t>https://www.ontario.ca/page/recovery-renewal-ontarios-vision-social-assistance-transformation</w:t>
        </w:r>
      </w:hyperlink>
      <w:r w:rsidRPr="00BC6D9B">
        <w:t xml:space="preserve">. </w:t>
      </w:r>
    </w:p>
  </w:endnote>
  <w:endnote w:id="39">
    <w:p w14:paraId="2A26FEC1" w14:textId="12F990EE" w:rsidR="007D1E03" w:rsidRDefault="007D1E03">
      <w:pPr>
        <w:pStyle w:val="EndnoteText"/>
      </w:pPr>
      <w:r>
        <w:rPr>
          <w:rStyle w:val="EndnoteReference"/>
        </w:rPr>
        <w:endnoteRef/>
      </w:r>
      <w:r>
        <w:t xml:space="preserve"> Government of Ontario</w:t>
      </w:r>
      <w:r w:rsidR="005A50DC">
        <w:t>.</w:t>
      </w:r>
      <w:r>
        <w:t xml:space="preserve"> (2023). </w:t>
      </w:r>
      <w:r w:rsidRPr="00642443">
        <w:rPr>
          <w:i/>
          <w:iCs/>
        </w:rPr>
        <w:t>Ontario Works Act</w:t>
      </w:r>
      <w:r w:rsidRPr="00BC6D9B">
        <w:rPr>
          <w:i/>
          <w:iCs/>
        </w:rPr>
        <w:t xml:space="preserve"> </w:t>
      </w:r>
      <w:r w:rsidRPr="00BC6D9B">
        <w:t xml:space="preserve">(1997). O. Reg 134/93, s. </w:t>
      </w:r>
      <w:r>
        <w:t>13</w:t>
      </w:r>
      <w:r w:rsidRPr="00BC6D9B">
        <w:t xml:space="preserve">. Retrieved </w:t>
      </w:r>
      <w:r>
        <w:t>from the Government of Ontario website:</w:t>
      </w:r>
      <w:r w:rsidRPr="00BC6D9B">
        <w:t xml:space="preserve"> </w:t>
      </w:r>
      <w:hyperlink r:id="rId40" w:history="1">
        <w:r w:rsidRPr="00BC6D9B">
          <w:rPr>
            <w:rStyle w:val="Hyperlink"/>
          </w:rPr>
          <w:t>https://www.ontario.ca/laws/regulation/980134</w:t>
        </w:r>
      </w:hyperlink>
      <w:r>
        <w:t>.</w:t>
      </w:r>
    </w:p>
  </w:endnote>
  <w:endnote w:id="40">
    <w:p w14:paraId="7430593E" w14:textId="46C6B99F" w:rsidR="007D1E03" w:rsidRDefault="007D1E03">
      <w:pPr>
        <w:pStyle w:val="EndnoteText"/>
      </w:pPr>
      <w:r>
        <w:rPr>
          <w:rStyle w:val="EndnoteReference"/>
        </w:rPr>
        <w:endnoteRef/>
      </w:r>
      <w:r>
        <w:t xml:space="preserve"> Government of Ontario (20</w:t>
      </w:r>
      <w:r w:rsidR="005A50DC">
        <w:t>2</w:t>
      </w:r>
      <w:r>
        <w:t xml:space="preserve">3). </w:t>
      </w:r>
      <w:r w:rsidRPr="00642443">
        <w:rPr>
          <w:i/>
        </w:rPr>
        <w:t>Ontario Disability Support Program Act</w:t>
      </w:r>
      <w:r w:rsidRPr="00BC6D9B">
        <w:rPr>
          <w:i/>
          <w:iCs/>
        </w:rPr>
        <w:t xml:space="preserve"> </w:t>
      </w:r>
      <w:r w:rsidRPr="00BC6D9B">
        <w:t>(1997). O. Reg. 222/98, s.</w:t>
      </w:r>
      <w:r>
        <w:t>11</w:t>
      </w:r>
      <w:r w:rsidRPr="00BC6D9B">
        <w:t xml:space="preserve">. Retrieved </w:t>
      </w:r>
      <w:r>
        <w:t>from the Government of Ontario website:</w:t>
      </w:r>
      <w:r w:rsidRPr="00BC6D9B">
        <w:t xml:space="preserve"> </w:t>
      </w:r>
      <w:hyperlink r:id="rId41" w:history="1">
        <w:r w:rsidRPr="00BC6D9B">
          <w:rPr>
            <w:rStyle w:val="Hyperlink"/>
          </w:rPr>
          <w:t>https://www.ontario.ca/laws/regulation/980222</w:t>
        </w:r>
      </w:hyperlink>
      <w:r>
        <w:t>.</w:t>
      </w:r>
    </w:p>
  </w:endnote>
  <w:endnote w:id="41">
    <w:p w14:paraId="4CC60835" w14:textId="1560DB80" w:rsidR="007D1E03" w:rsidRPr="00BC6D9B" w:rsidRDefault="007D1E03" w:rsidP="009E3E5B">
      <w:pPr>
        <w:autoSpaceDE w:val="0"/>
        <w:autoSpaceDN w:val="0"/>
        <w:adjustRightInd w:val="0"/>
        <w:rPr>
          <w:color w:val="1A1718"/>
          <w:sz w:val="20"/>
          <w:szCs w:val="20"/>
          <w:lang w:eastAsia="en-CA"/>
        </w:rPr>
      </w:pPr>
      <w:r w:rsidRPr="00BC6D9B">
        <w:rPr>
          <w:rStyle w:val="EndnoteReference"/>
          <w:sz w:val="20"/>
          <w:szCs w:val="20"/>
        </w:rPr>
        <w:endnoteRef/>
      </w:r>
      <w:r w:rsidRPr="00BC6D9B">
        <w:rPr>
          <w:sz w:val="20"/>
          <w:szCs w:val="20"/>
        </w:rPr>
        <w:t xml:space="preserve"> </w:t>
      </w:r>
      <w:r w:rsidRPr="00BC6D9B">
        <w:rPr>
          <w:color w:val="1A1718"/>
          <w:sz w:val="20"/>
          <w:szCs w:val="20"/>
          <w:lang w:eastAsia="en-CA"/>
        </w:rPr>
        <w:t xml:space="preserve">Macdonald, David. (2021). </w:t>
      </w:r>
      <w:r w:rsidRPr="00E74EBC">
        <w:rPr>
          <w:i/>
          <w:color w:val="1A1718"/>
          <w:sz w:val="20"/>
          <w:szCs w:val="20"/>
          <w:lang w:eastAsia="en-CA"/>
        </w:rPr>
        <w:t>Still picking up the tab: Federal and provincial government COVID-19 spending</w:t>
      </w:r>
      <w:r w:rsidRPr="00BC6D9B">
        <w:rPr>
          <w:i/>
          <w:iCs/>
          <w:color w:val="1A1718"/>
          <w:sz w:val="20"/>
          <w:szCs w:val="20"/>
          <w:lang w:eastAsia="en-CA"/>
        </w:rPr>
        <w:t xml:space="preserve">. </w:t>
      </w:r>
      <w:r w:rsidRPr="00E74EBC">
        <w:rPr>
          <w:iCs/>
          <w:color w:val="1A1718"/>
          <w:sz w:val="20"/>
          <w:szCs w:val="20"/>
          <w:lang w:eastAsia="en-CA"/>
        </w:rPr>
        <w:t>Canadian Centre for Policy Alternatives.</w:t>
      </w:r>
      <w:r w:rsidRPr="00BC6D9B">
        <w:rPr>
          <w:color w:val="1A1718"/>
          <w:sz w:val="20"/>
          <w:szCs w:val="20"/>
          <w:lang w:eastAsia="en-CA"/>
        </w:rPr>
        <w:t xml:space="preserve"> </w:t>
      </w:r>
      <w:hyperlink r:id="rId42" w:history="1">
        <w:r w:rsidRPr="00BC6D9B">
          <w:rPr>
            <w:rStyle w:val="Hyperlink"/>
            <w:sz w:val="20"/>
            <w:szCs w:val="20"/>
            <w:lang w:eastAsia="en-CA"/>
          </w:rPr>
          <w:t>https://www.policyalternatives.ca/sites/default/files/uploads/publications/National%20Office/2021/08/Still%20picking%20up%20the%20tab.pdf</w:t>
        </w:r>
      </w:hyperlink>
      <w:r w:rsidRPr="00BC6D9B">
        <w:rPr>
          <w:color w:val="1A1718"/>
          <w:sz w:val="20"/>
          <w:szCs w:val="20"/>
          <w:lang w:eastAsia="en-CA"/>
        </w:rPr>
        <w:t xml:space="preserve">, </w:t>
      </w:r>
      <w:r>
        <w:rPr>
          <w:color w:val="1A1718"/>
          <w:sz w:val="20"/>
          <w:szCs w:val="20"/>
          <w:lang w:eastAsia="en-CA"/>
        </w:rPr>
        <w:t xml:space="preserve">p. </w:t>
      </w:r>
      <w:r w:rsidRPr="00BC6D9B">
        <w:rPr>
          <w:color w:val="1A1718"/>
          <w:sz w:val="20"/>
          <w:szCs w:val="20"/>
          <w:lang w:eastAsia="en-CA"/>
        </w:rPr>
        <w:t>31.</w:t>
      </w:r>
    </w:p>
  </w:endnote>
  <w:endnote w:id="42">
    <w:p w14:paraId="5493E244" w14:textId="1C0F601B" w:rsidR="007D1E03" w:rsidRPr="00E74EBC" w:rsidRDefault="007D1E03">
      <w:pPr>
        <w:pStyle w:val="EndnoteText"/>
      </w:pPr>
      <w:r>
        <w:rPr>
          <w:rStyle w:val="EndnoteReference"/>
        </w:rPr>
        <w:endnoteRef/>
      </w:r>
      <w:r>
        <w:t xml:space="preserve"> Government of Ontario</w:t>
      </w:r>
      <w:r w:rsidR="005A50DC">
        <w:t xml:space="preserve">. </w:t>
      </w:r>
      <w:r>
        <w:t xml:space="preserve">(2023). </w:t>
      </w:r>
      <w:r w:rsidRPr="00642443">
        <w:rPr>
          <w:i/>
          <w:iCs/>
        </w:rPr>
        <w:t>Ontario Works Act</w:t>
      </w:r>
      <w:r w:rsidRPr="00BC6D9B">
        <w:rPr>
          <w:i/>
          <w:iCs/>
        </w:rPr>
        <w:t xml:space="preserve"> </w:t>
      </w:r>
      <w:r w:rsidRPr="00BC6D9B">
        <w:t xml:space="preserve">(1997). O. Reg 134/93, s. </w:t>
      </w:r>
      <w:r>
        <w:t>41, s. 42</w:t>
      </w:r>
      <w:r w:rsidRPr="00BC6D9B">
        <w:t xml:space="preserve">. Retrieved </w:t>
      </w:r>
      <w:r>
        <w:t>from the Government of Ontario website:</w:t>
      </w:r>
      <w:r w:rsidRPr="00BC6D9B">
        <w:t xml:space="preserve"> </w:t>
      </w:r>
      <w:hyperlink r:id="rId43" w:history="1">
        <w:r w:rsidRPr="00BC6D9B">
          <w:rPr>
            <w:rStyle w:val="Hyperlink"/>
          </w:rPr>
          <w:t>https://www.ontario.ca/laws/regulation/980134</w:t>
        </w:r>
      </w:hyperlink>
      <w:r>
        <w:rPr>
          <w:rStyle w:val="Hyperlink"/>
          <w:u w:val="none"/>
        </w:rPr>
        <w:t>.</w:t>
      </w:r>
    </w:p>
  </w:endnote>
  <w:endnote w:id="43">
    <w:p w14:paraId="3C63FB1A" w14:textId="6496E51C" w:rsidR="007D1E03" w:rsidRDefault="007D1E03">
      <w:pPr>
        <w:pStyle w:val="EndnoteText"/>
      </w:pPr>
      <w:r>
        <w:rPr>
          <w:rStyle w:val="EndnoteReference"/>
        </w:rPr>
        <w:endnoteRef/>
      </w:r>
      <w:r>
        <w:t xml:space="preserve"> Government of Ontario</w:t>
      </w:r>
      <w:r w:rsidR="005A50DC">
        <w:t>.</w:t>
      </w:r>
      <w:r>
        <w:t xml:space="preserve"> (20</w:t>
      </w:r>
      <w:r w:rsidR="005A50DC">
        <w:t>2</w:t>
      </w:r>
      <w:r>
        <w:t xml:space="preserve">3). </w:t>
      </w:r>
      <w:r w:rsidRPr="00642443">
        <w:rPr>
          <w:i/>
        </w:rPr>
        <w:t>Ontario Disability Support Program Act</w:t>
      </w:r>
      <w:r w:rsidRPr="00BC6D9B">
        <w:rPr>
          <w:i/>
          <w:iCs/>
        </w:rPr>
        <w:t xml:space="preserve"> </w:t>
      </w:r>
      <w:r w:rsidRPr="00BC6D9B">
        <w:t>(1997). O. Reg. 222/98, s.</w:t>
      </w:r>
      <w:r>
        <w:t>30, s.31</w:t>
      </w:r>
      <w:r w:rsidRPr="00BC6D9B">
        <w:t xml:space="preserve">. Retrieved </w:t>
      </w:r>
      <w:r>
        <w:t>from the Government of Ontario website:</w:t>
      </w:r>
      <w:r w:rsidRPr="00BC6D9B">
        <w:t xml:space="preserve"> </w:t>
      </w:r>
      <w:hyperlink r:id="rId44" w:history="1">
        <w:r w:rsidRPr="00BC6D9B">
          <w:rPr>
            <w:rStyle w:val="Hyperlink"/>
          </w:rPr>
          <w:t>https://www.ontario.ca/laws/regulation/980222</w:t>
        </w:r>
      </w:hyperlink>
      <w:r>
        <w:t>.</w:t>
      </w:r>
    </w:p>
  </w:endnote>
  <w:endnote w:id="44">
    <w:p w14:paraId="1B103D68" w14:textId="2E86CBF1" w:rsidR="007D1E03" w:rsidRDefault="007D1E03">
      <w:pPr>
        <w:pStyle w:val="EndnoteText"/>
      </w:pPr>
      <w:r>
        <w:rPr>
          <w:rStyle w:val="EndnoteReference"/>
        </w:rPr>
        <w:endnoteRef/>
      </w:r>
      <w:r>
        <w:t xml:space="preserve"> Government of Ontario</w:t>
      </w:r>
      <w:r w:rsidR="00AB315E">
        <w:t>.</w:t>
      </w:r>
      <w:r>
        <w:t xml:space="preserve"> (2023). </w:t>
      </w:r>
      <w:r w:rsidRPr="00642443">
        <w:rPr>
          <w:i/>
          <w:iCs/>
        </w:rPr>
        <w:t>Ontario Works Act</w:t>
      </w:r>
      <w:r w:rsidRPr="00BC6D9B">
        <w:rPr>
          <w:i/>
          <w:iCs/>
        </w:rPr>
        <w:t xml:space="preserve"> </w:t>
      </w:r>
      <w:r w:rsidRPr="00BC6D9B">
        <w:t xml:space="preserve">(1997). O. Reg 134/93, s. </w:t>
      </w:r>
      <w:r>
        <w:t>49.</w:t>
      </w:r>
      <w:r w:rsidRPr="00BC6D9B">
        <w:t xml:space="preserve"> Retrieved </w:t>
      </w:r>
      <w:r>
        <w:t>from the Government of Ontario website:</w:t>
      </w:r>
      <w:r w:rsidRPr="00BC6D9B">
        <w:t xml:space="preserve"> </w:t>
      </w:r>
      <w:hyperlink r:id="rId45" w:history="1">
        <w:r w:rsidRPr="00BC6D9B">
          <w:rPr>
            <w:rStyle w:val="Hyperlink"/>
          </w:rPr>
          <w:t>https://www.ontario.ca/laws/regulation/980134</w:t>
        </w:r>
      </w:hyperlink>
      <w:r>
        <w:rPr>
          <w:rStyle w:val="Hyperlink"/>
        </w:rPr>
        <w:t>.</w:t>
      </w:r>
      <w:r>
        <w:t xml:space="preserve"> </w:t>
      </w:r>
    </w:p>
  </w:endnote>
  <w:endnote w:id="45">
    <w:p w14:paraId="04D86286" w14:textId="40BB72D6" w:rsidR="007D1E03" w:rsidRDefault="007D1E03">
      <w:pPr>
        <w:pStyle w:val="EndnoteText"/>
      </w:pPr>
      <w:r>
        <w:rPr>
          <w:rStyle w:val="EndnoteReference"/>
        </w:rPr>
        <w:endnoteRef/>
      </w:r>
      <w:r>
        <w:t xml:space="preserve"> Government of Ontario</w:t>
      </w:r>
      <w:r w:rsidR="00AB315E">
        <w:t>.</w:t>
      </w:r>
      <w:r>
        <w:t xml:space="preserve"> (20</w:t>
      </w:r>
      <w:r w:rsidR="00AB315E">
        <w:t>2</w:t>
      </w:r>
      <w:r>
        <w:t xml:space="preserve">3). </w:t>
      </w:r>
      <w:r w:rsidRPr="00642443">
        <w:rPr>
          <w:i/>
        </w:rPr>
        <w:t>Ontario Disability Support Program Act</w:t>
      </w:r>
      <w:r w:rsidRPr="00BC6D9B">
        <w:rPr>
          <w:i/>
          <w:iCs/>
        </w:rPr>
        <w:t xml:space="preserve"> </w:t>
      </w:r>
      <w:r w:rsidRPr="00BC6D9B">
        <w:t>(1997). O. Reg. 222/98, s.</w:t>
      </w:r>
      <w:r>
        <w:t>38</w:t>
      </w:r>
      <w:r w:rsidRPr="00BC6D9B">
        <w:t xml:space="preserve">. Retrieved </w:t>
      </w:r>
      <w:r>
        <w:t>from the Government of Ontario website:</w:t>
      </w:r>
      <w:r w:rsidRPr="00BC6D9B">
        <w:t xml:space="preserve"> </w:t>
      </w:r>
      <w:hyperlink r:id="rId46" w:history="1">
        <w:r w:rsidRPr="00BC6D9B">
          <w:rPr>
            <w:rStyle w:val="Hyperlink"/>
          </w:rPr>
          <w:t>https://www.ontario.ca/laws/regulation/980222</w:t>
        </w:r>
      </w:hyperlink>
      <w:r>
        <w:t>.</w:t>
      </w:r>
    </w:p>
  </w:endnote>
  <w:endnote w:id="46">
    <w:p w14:paraId="1A74034F" w14:textId="40C85190" w:rsidR="007D1E03" w:rsidRPr="00A14B49" w:rsidRDefault="007D1E03">
      <w:pPr>
        <w:pStyle w:val="EndnoteText"/>
        <w:rPr>
          <w:u w:val="single"/>
        </w:rPr>
      </w:pPr>
      <w:r>
        <w:rPr>
          <w:rStyle w:val="EndnoteReference"/>
        </w:rPr>
        <w:endnoteRef/>
      </w:r>
      <w:r>
        <w:t xml:space="preserve"> Government of Ontario</w:t>
      </w:r>
      <w:r w:rsidR="00AB315E">
        <w:t>.</w:t>
      </w:r>
      <w:r>
        <w:t xml:space="preserve"> (2023). </w:t>
      </w:r>
      <w:r w:rsidRPr="00642443">
        <w:rPr>
          <w:i/>
          <w:iCs/>
        </w:rPr>
        <w:t>Ontario Works Act</w:t>
      </w:r>
      <w:r w:rsidRPr="00BC6D9B">
        <w:rPr>
          <w:i/>
          <w:iCs/>
        </w:rPr>
        <w:t xml:space="preserve"> </w:t>
      </w:r>
      <w:r w:rsidRPr="00BC6D9B">
        <w:t>(1997). O. Reg 134/93, s</w:t>
      </w:r>
      <w:r>
        <w:t>. 1(1) “spouse” (d)</w:t>
      </w:r>
      <w:r w:rsidRPr="00BC6D9B">
        <w:t xml:space="preserve">. Retrieved </w:t>
      </w:r>
      <w:r>
        <w:t>from the Government of Ontario website:</w:t>
      </w:r>
      <w:r w:rsidRPr="00BC6D9B">
        <w:t xml:space="preserve"> </w:t>
      </w:r>
      <w:hyperlink r:id="rId47" w:history="1">
        <w:r w:rsidRPr="00BC6D9B">
          <w:rPr>
            <w:rStyle w:val="Hyperlink"/>
          </w:rPr>
          <w:t>https://www.ontario.ca/laws/regulation/980134</w:t>
        </w:r>
      </w:hyperlink>
      <w:r>
        <w:rPr>
          <w:u w:val="single"/>
        </w:rPr>
        <w:t>.</w:t>
      </w:r>
    </w:p>
  </w:endnote>
  <w:endnote w:id="47">
    <w:p w14:paraId="25EC735F" w14:textId="10C7D173" w:rsidR="007D1E03" w:rsidRDefault="007D1E03">
      <w:pPr>
        <w:pStyle w:val="EndnoteText"/>
      </w:pPr>
      <w:r>
        <w:rPr>
          <w:rStyle w:val="EndnoteReference"/>
        </w:rPr>
        <w:endnoteRef/>
      </w:r>
      <w:r>
        <w:t xml:space="preserve"> Government of Ontario</w:t>
      </w:r>
      <w:r w:rsidR="00AB315E">
        <w:t>.</w:t>
      </w:r>
      <w:r>
        <w:t xml:space="preserve"> (20</w:t>
      </w:r>
      <w:r w:rsidR="00AB315E">
        <w:t>2</w:t>
      </w:r>
      <w:r>
        <w:t xml:space="preserve">3). </w:t>
      </w:r>
      <w:r w:rsidRPr="00642443">
        <w:rPr>
          <w:i/>
        </w:rPr>
        <w:t>Ontario Disability Support Program Act</w:t>
      </w:r>
      <w:r w:rsidRPr="00BC6D9B">
        <w:rPr>
          <w:i/>
          <w:iCs/>
        </w:rPr>
        <w:t xml:space="preserve"> </w:t>
      </w:r>
      <w:r w:rsidRPr="00BC6D9B">
        <w:t>(1997). O. Reg. 222/98,</w:t>
      </w:r>
      <w:r>
        <w:t xml:space="preserve"> s. 1(1) “spouse” (d)</w:t>
      </w:r>
      <w:r w:rsidRPr="00BC6D9B">
        <w:t xml:space="preserve">. Retrieved </w:t>
      </w:r>
      <w:r>
        <w:t>from the Government of Ontario website:</w:t>
      </w:r>
      <w:r w:rsidRPr="00BC6D9B">
        <w:t xml:space="preserve"> </w:t>
      </w:r>
      <w:hyperlink r:id="rId48" w:history="1">
        <w:r w:rsidRPr="00BC6D9B">
          <w:rPr>
            <w:rStyle w:val="Hyperlink"/>
          </w:rPr>
          <w:t>https://www.ontario.ca/laws/regulation/980222</w:t>
        </w:r>
      </w:hyperlink>
      <w:r>
        <w:t>.</w:t>
      </w:r>
    </w:p>
  </w:endnote>
  <w:endnote w:id="48">
    <w:p w14:paraId="0E0D0B2A" w14:textId="5CBAD3C9" w:rsidR="007D1E03" w:rsidRPr="00397518" w:rsidRDefault="007D1E03">
      <w:pPr>
        <w:pStyle w:val="EndnoteText"/>
      </w:pPr>
      <w:r>
        <w:rPr>
          <w:rStyle w:val="EndnoteReference"/>
        </w:rPr>
        <w:endnoteRef/>
      </w:r>
      <w:r>
        <w:t xml:space="preserve"> Government of Ontario</w:t>
      </w:r>
      <w:r w:rsidR="00AB315E">
        <w:t>.</w:t>
      </w:r>
      <w:r>
        <w:t xml:space="preserve"> (2023). </w:t>
      </w:r>
      <w:r>
        <w:rPr>
          <w:i/>
          <w:iCs/>
        </w:rPr>
        <w:t>Family Law Act</w:t>
      </w:r>
      <w:r>
        <w:t xml:space="preserve"> (R.S.O 1993). s. 29(a). Retrieved from the Government of Ontario website: </w:t>
      </w:r>
      <w:hyperlink r:id="rId49" w:anchor="BK35" w:history="1">
        <w:r w:rsidRPr="00047B44">
          <w:rPr>
            <w:rStyle w:val="Hyperlink"/>
          </w:rPr>
          <w:t>https://www.ontario.ca/laws/statute/90f03#BK35</w:t>
        </w:r>
      </w:hyperlink>
      <w:r>
        <w:t xml:space="preserve">. </w:t>
      </w:r>
    </w:p>
  </w:endnote>
  <w:endnote w:id="49">
    <w:p w14:paraId="618AD593" w14:textId="065BA9E7" w:rsidR="007D1E03" w:rsidRPr="00867244" w:rsidRDefault="007D1E03" w:rsidP="00CB13E3">
      <w:pPr>
        <w:pStyle w:val="EndnoteText"/>
      </w:pPr>
      <w:r w:rsidRPr="00BC6D9B">
        <w:rPr>
          <w:rStyle w:val="EndnoteReference"/>
        </w:rPr>
        <w:endnoteRef/>
      </w:r>
      <w:r w:rsidRPr="00BC6D9B">
        <w:t xml:space="preserve"> Laidley, Jennefer and Mohy Tabbara</w:t>
      </w:r>
      <w:r w:rsidR="00AB315E">
        <w:t>.</w:t>
      </w:r>
      <w:r w:rsidRPr="00BC6D9B">
        <w:t xml:space="preserve"> (2022). </w:t>
      </w:r>
      <w:r w:rsidRPr="00BC6D9B">
        <w:rPr>
          <w:i/>
          <w:iCs/>
        </w:rPr>
        <w:t>Welfare in Canada, 2021</w:t>
      </w:r>
      <w:r w:rsidRPr="00BC6D9B">
        <w:t xml:space="preserve">. Maytree. </w:t>
      </w:r>
      <w:hyperlink r:id="rId50" w:history="1">
        <w:r w:rsidRPr="00BC6D9B">
          <w:rPr>
            <w:rStyle w:val="Hyperlink"/>
          </w:rPr>
          <w:t>https://maytree.com/wp-content/uploads/Welfare_in_Canada_2021.pdf</w:t>
        </w:r>
      </w:hyperlink>
      <w:r w:rsidRPr="00BC6D9B">
        <w:t>, p.</w:t>
      </w:r>
      <w:r>
        <w:t>173</w:t>
      </w:r>
    </w:p>
  </w:endnote>
  <w:endnote w:id="50">
    <w:p w14:paraId="1690FD6D" w14:textId="0591BB45" w:rsidR="007D1E03" w:rsidRPr="00BC6D9B" w:rsidRDefault="007D1E03" w:rsidP="00CB13E3">
      <w:pPr>
        <w:pStyle w:val="EndnoteText"/>
      </w:pPr>
      <w:r w:rsidRPr="00BC6D9B">
        <w:rPr>
          <w:rStyle w:val="EndnoteReference"/>
        </w:rPr>
        <w:endnoteRef/>
      </w:r>
      <w:r w:rsidRPr="00BC6D9B">
        <w:t xml:space="preserve"> </w:t>
      </w:r>
      <w:r>
        <w:t xml:space="preserve">Government of </w:t>
      </w:r>
      <w:r w:rsidRPr="00BC6D9B">
        <w:t>Ontario</w:t>
      </w:r>
      <w:r w:rsidR="00AB315E">
        <w:t>.</w:t>
      </w:r>
      <w:r w:rsidRPr="00BC6D9B">
        <w:t xml:space="preserve"> (2021). </w:t>
      </w:r>
      <w:r w:rsidRPr="00BC6D9B">
        <w:rPr>
          <w:i/>
          <w:iCs/>
        </w:rPr>
        <w:t>Recovery &amp; Renewal: Ontario’s Vision for Social Assistance</w:t>
      </w:r>
      <w:r w:rsidRPr="00BC6D9B">
        <w:t xml:space="preserve">. Retrieved </w:t>
      </w:r>
      <w:r>
        <w:t>from Government of Ontario website:</w:t>
      </w:r>
      <w:r w:rsidRPr="00BC6D9B">
        <w:t xml:space="preserve"> </w:t>
      </w:r>
      <w:hyperlink r:id="rId51" w:history="1">
        <w:r w:rsidRPr="00BC6D9B">
          <w:rPr>
            <w:rStyle w:val="Hyperlink"/>
          </w:rPr>
          <w:t>https://www.ontario.ca/page/recovery-renewal-ontarios-vision-social-assistance-transformation</w:t>
        </w:r>
      </w:hyperlink>
      <w:r w:rsidRPr="00BC6D9B">
        <w:t>.</w:t>
      </w:r>
    </w:p>
  </w:endnote>
  <w:endnote w:id="51">
    <w:p w14:paraId="7C2AC750" w14:textId="1CCBEB00" w:rsidR="007D1E03" w:rsidRDefault="007D1E03">
      <w:pPr>
        <w:pStyle w:val="EndnoteText"/>
      </w:pPr>
      <w:r>
        <w:rPr>
          <w:rStyle w:val="EndnoteReference"/>
        </w:rPr>
        <w:endnoteRef/>
      </w:r>
      <w:r>
        <w:t xml:space="preserve"> This data is from the Social Assistance Management System (SAMS) in July 2022.</w:t>
      </w:r>
    </w:p>
  </w:endnote>
  <w:endnote w:id="52">
    <w:p w14:paraId="750A3FD0" w14:textId="7D032E7E" w:rsidR="007D1E03" w:rsidRPr="00BC6D9B" w:rsidRDefault="007D1E03" w:rsidP="00CB13E3">
      <w:pPr>
        <w:pStyle w:val="EndnoteText"/>
      </w:pPr>
      <w:r w:rsidRPr="00BC6D9B">
        <w:rPr>
          <w:rStyle w:val="EndnoteReference"/>
        </w:rPr>
        <w:endnoteRef/>
      </w:r>
      <w:r w:rsidRPr="00BC6D9B">
        <w:t xml:space="preserve"> First Work. </w:t>
      </w:r>
      <w:r w:rsidR="00C26F2A">
        <w:t xml:space="preserve">(2023). </w:t>
      </w:r>
      <w:r w:rsidRPr="00BC6D9B">
        <w:rPr>
          <w:i/>
          <w:iCs/>
        </w:rPr>
        <w:t>Ontario’s Employment Services Transformation: A Good Vision</w:t>
      </w:r>
      <w:r w:rsidRPr="00BC6D9B">
        <w:t xml:space="preserve">. </w:t>
      </w:r>
      <w:hyperlink r:id="rId52" w:history="1">
        <w:r w:rsidRPr="00BC6D9B">
          <w:rPr>
            <w:rStyle w:val="Hyperlink"/>
          </w:rPr>
          <w:t>https://firstwork.org/ontarios-employment-services-transformation/</w:t>
        </w:r>
      </w:hyperlink>
      <w:r w:rsidRPr="00BC6D9B">
        <w:t>, 12.</w:t>
      </w:r>
    </w:p>
  </w:endnote>
  <w:endnote w:id="53">
    <w:p w14:paraId="23146446" w14:textId="7E1B9640" w:rsidR="007D1E03" w:rsidRPr="002B1319" w:rsidRDefault="007D1E03">
      <w:pPr>
        <w:pStyle w:val="EndnoteText"/>
      </w:pPr>
      <w:r>
        <w:rPr>
          <w:rStyle w:val="EndnoteReference"/>
        </w:rPr>
        <w:endnoteRef/>
      </w:r>
      <w:r>
        <w:t xml:space="preserve"> Ministry of Labour, Training and Skills Development</w:t>
      </w:r>
      <w:r w:rsidR="00C26F2A">
        <w:t>.</w:t>
      </w:r>
      <w:r>
        <w:t xml:space="preserve"> (2021, November 19). </w:t>
      </w:r>
      <w:r>
        <w:rPr>
          <w:i/>
          <w:iCs/>
        </w:rPr>
        <w:t>Memorandum: Third-Party Evaluation of the Employment Services Transformation Prototype Phase</w:t>
      </w:r>
      <w:r>
        <w:t xml:space="preserve">. Retrieved from Government of Ontario website: </w:t>
      </w:r>
      <w:hyperlink r:id="rId53" w:history="1">
        <w:r w:rsidRPr="00047B44">
          <w:rPr>
            <w:rStyle w:val="Hyperlink"/>
          </w:rPr>
          <w:t>https://www.tcu.gov.on.ca/eng/eopg/publications/est-memo-ssms-third-party-evaluation-prototype-phase-en.pdf</w:t>
        </w:r>
      </w:hyperlink>
      <w:r>
        <w:t xml:space="preserve">. </w:t>
      </w:r>
    </w:p>
  </w:endnote>
  <w:endnote w:id="54">
    <w:p w14:paraId="0762C55A" w14:textId="7CE49882" w:rsidR="007D1E03" w:rsidRPr="00BC6D9B" w:rsidRDefault="007D1E03" w:rsidP="00CB13E3">
      <w:pPr>
        <w:pStyle w:val="EndnoteText"/>
      </w:pPr>
      <w:r w:rsidRPr="00BC6D9B">
        <w:rPr>
          <w:rStyle w:val="EndnoteReference"/>
        </w:rPr>
        <w:endnoteRef/>
      </w:r>
      <w:r w:rsidRPr="00BC6D9B">
        <w:t xml:space="preserve"> Goss Gilroy Inc. (2008). </w:t>
      </w:r>
      <w:r w:rsidRPr="00BC6D9B">
        <w:rPr>
          <w:i/>
          <w:iCs/>
        </w:rPr>
        <w:t>Evaluation of the JobsNow Pilot Final Report</w:t>
      </w:r>
      <w:r w:rsidRPr="00BC6D9B">
        <w:t>,</w:t>
      </w:r>
      <w:r>
        <w:t xml:space="preserve"> pp.</w:t>
      </w:r>
      <w:r w:rsidRPr="00BC6D9B">
        <w:t>12, 21.</w:t>
      </w:r>
    </w:p>
  </w:endnote>
  <w:endnote w:id="55">
    <w:p w14:paraId="53543E40" w14:textId="244B1223" w:rsidR="007D1E03" w:rsidRPr="00BC6D9B" w:rsidRDefault="007D1E03" w:rsidP="00CB13E3">
      <w:pPr>
        <w:pStyle w:val="EndnoteText"/>
      </w:pPr>
      <w:r w:rsidRPr="00BC6D9B">
        <w:rPr>
          <w:rStyle w:val="EndnoteReference"/>
        </w:rPr>
        <w:endnoteRef/>
      </w:r>
      <w:r w:rsidRPr="00BC6D9B">
        <w:t xml:space="preserve"> Goss Gilroy Inc. (2008). </w:t>
      </w:r>
      <w:r w:rsidRPr="00BC6D9B">
        <w:rPr>
          <w:i/>
          <w:iCs/>
        </w:rPr>
        <w:t>Evaluation of the JobsNow Pilot Final Report</w:t>
      </w:r>
      <w:r w:rsidRPr="00BC6D9B">
        <w:t xml:space="preserve">, </w:t>
      </w:r>
      <w:r>
        <w:t xml:space="preserve">p. </w:t>
      </w:r>
      <w:r w:rsidRPr="00BC6D9B">
        <w:t>22.</w:t>
      </w:r>
    </w:p>
  </w:endnote>
  <w:endnote w:id="56">
    <w:p w14:paraId="316349B8" w14:textId="2D23455F" w:rsidR="007D1E03" w:rsidRPr="00BC6D9B" w:rsidRDefault="007D1E03" w:rsidP="00CB13E3">
      <w:pPr>
        <w:pStyle w:val="EndnoteText"/>
      </w:pPr>
      <w:r w:rsidRPr="00BC6D9B">
        <w:rPr>
          <w:rStyle w:val="EndnoteReference"/>
        </w:rPr>
        <w:endnoteRef/>
      </w:r>
      <w:r w:rsidRPr="00BC6D9B">
        <w:t xml:space="preserve"> Bank of Canada</w:t>
      </w:r>
      <w:r>
        <w:t>. (2023)</w:t>
      </w:r>
      <w:r w:rsidRPr="00BC6D9B">
        <w:t xml:space="preserve">. </w:t>
      </w:r>
      <w:r w:rsidRPr="00BC6D9B">
        <w:rPr>
          <w:i/>
          <w:iCs/>
        </w:rPr>
        <w:t>Inflation Calculator</w:t>
      </w:r>
      <w:r w:rsidRPr="00BC6D9B">
        <w:t xml:space="preserve">. </w:t>
      </w:r>
      <w:hyperlink r:id="rId54" w:history="1">
        <w:r w:rsidRPr="00BC6D9B">
          <w:rPr>
            <w:rStyle w:val="Hyperlink"/>
          </w:rPr>
          <w:t>https://www.bankofcanada.ca/rates/related/inflation-calculator/</w:t>
        </w:r>
      </w:hyperlink>
      <w:r w:rsidRPr="00BC6D9B">
        <w:t xml:space="preserve">. </w:t>
      </w:r>
    </w:p>
  </w:endnote>
  <w:endnote w:id="57">
    <w:p w14:paraId="328D7F1F" w14:textId="4497A4BB" w:rsidR="007D1E03" w:rsidRPr="00BC6D9B" w:rsidRDefault="007D1E03" w:rsidP="00CB13E3">
      <w:pPr>
        <w:pStyle w:val="EndnoteText"/>
        <w:rPr>
          <w:highlight w:val="yellow"/>
        </w:rPr>
      </w:pPr>
      <w:r w:rsidRPr="00BC6D9B">
        <w:rPr>
          <w:rStyle w:val="EndnoteReference"/>
        </w:rPr>
        <w:endnoteRef/>
      </w:r>
      <w:r w:rsidRPr="00BC6D9B">
        <w:t xml:space="preserve"> Goss Gilroy Inc. (2008). </w:t>
      </w:r>
      <w:r w:rsidRPr="00BC6D9B">
        <w:rPr>
          <w:i/>
          <w:iCs/>
        </w:rPr>
        <w:t>Evaluation of the JobsNow Pilot Final Report</w:t>
      </w:r>
      <w:r>
        <w:t xml:space="preserve">, pp. </w:t>
      </w:r>
      <w:r w:rsidRPr="00BC6D9B">
        <w:t xml:space="preserve">22-24. </w:t>
      </w:r>
    </w:p>
  </w:endnote>
  <w:endnote w:id="58">
    <w:p w14:paraId="6F2A23F9" w14:textId="7C681D2D" w:rsidR="007D1E03" w:rsidRPr="00BC6D9B" w:rsidRDefault="007D1E03" w:rsidP="00CB13E3">
      <w:pPr>
        <w:pStyle w:val="EndnoteText"/>
        <w:rPr>
          <w:highlight w:val="yellow"/>
        </w:rPr>
      </w:pPr>
      <w:r w:rsidRPr="00BC6D9B">
        <w:rPr>
          <w:rStyle w:val="EndnoteReference"/>
        </w:rPr>
        <w:endnoteRef/>
      </w:r>
      <w:r w:rsidRPr="00BC6D9B">
        <w:t xml:space="preserve"> This was, in part, due to the “performance fee” of $7.6 million that was paid to WCG. See Goss Gilroy Inc. (</w:t>
      </w:r>
      <w:r>
        <w:t>2008</w:t>
      </w:r>
      <w:r w:rsidRPr="00BC6D9B">
        <w:t xml:space="preserve">). </w:t>
      </w:r>
      <w:r w:rsidRPr="00BC6D9B">
        <w:rPr>
          <w:i/>
          <w:iCs/>
        </w:rPr>
        <w:t>Evaluation of the JobsNow Pilot Final Report</w:t>
      </w:r>
      <w:r w:rsidRPr="00BC6D9B">
        <w:t xml:space="preserve">, </w:t>
      </w:r>
      <w:r>
        <w:t xml:space="preserve">pp. </w:t>
      </w:r>
      <w:r w:rsidRPr="00BC6D9B">
        <w:t>28, 35.</w:t>
      </w:r>
    </w:p>
  </w:endnote>
  <w:endnote w:id="59">
    <w:p w14:paraId="3D8F9E14" w14:textId="47178497" w:rsidR="007D1E03" w:rsidRPr="00BC6D9B" w:rsidRDefault="007D1E03" w:rsidP="00CB13E3">
      <w:pPr>
        <w:pStyle w:val="EndnoteText"/>
      </w:pPr>
      <w:r w:rsidRPr="00BC6D9B">
        <w:rPr>
          <w:rStyle w:val="EndnoteReference"/>
        </w:rPr>
        <w:endnoteRef/>
      </w:r>
      <w:r w:rsidRPr="00BC6D9B">
        <w:t xml:space="preserve"> </w:t>
      </w:r>
      <w:r>
        <w:t xml:space="preserve">Talwar Kapoor, </w:t>
      </w:r>
      <w:r w:rsidRPr="00BC6D9B">
        <w:t xml:space="preserve">Garima </w:t>
      </w:r>
      <w:r w:rsidR="00C26F2A">
        <w:t>.</w:t>
      </w:r>
      <w:r w:rsidRPr="00BC6D9B">
        <w:t>(2020)</w:t>
      </w:r>
      <w:r w:rsidR="00C26F2A">
        <w:t xml:space="preserve">. </w:t>
      </w:r>
      <w:r w:rsidRPr="00BC6D9B">
        <w:rPr>
          <w:i/>
          <w:iCs/>
        </w:rPr>
        <w:t>System Transformation in Ontario Works: Considerations for Ontario.</w:t>
      </w:r>
      <w:r w:rsidRPr="00BC6D9B">
        <w:t xml:space="preserve"> Maytree. </w:t>
      </w:r>
      <w:hyperlink r:id="rId55" w:history="1">
        <w:r w:rsidRPr="00BC6D9B">
          <w:rPr>
            <w:rStyle w:val="Hyperlink"/>
          </w:rPr>
          <w:t>https://maytree.com/wp-content/uploads/System-Transformation-in-Ontario-Works.pdf</w:t>
        </w:r>
      </w:hyperlink>
      <w:r w:rsidRPr="00BC6D9B">
        <w:t xml:space="preserve">, </w:t>
      </w:r>
      <w:r>
        <w:t xml:space="preserve">p. </w:t>
      </w:r>
      <w:r w:rsidRPr="00BC6D9B">
        <w:t>19-20.</w:t>
      </w:r>
    </w:p>
  </w:endnote>
  <w:endnote w:id="60">
    <w:p w14:paraId="53EFCC97" w14:textId="4C66D508" w:rsidR="007D1E03" w:rsidRPr="00BC6D9B" w:rsidRDefault="007D1E03" w:rsidP="00CB13E3">
      <w:pPr>
        <w:pStyle w:val="EndnoteText"/>
      </w:pPr>
      <w:r w:rsidRPr="00BC6D9B">
        <w:rPr>
          <w:rStyle w:val="EndnoteReference"/>
        </w:rPr>
        <w:endnoteRef/>
      </w:r>
      <w:r w:rsidRPr="00BC6D9B">
        <w:t xml:space="preserve"> </w:t>
      </w:r>
      <w:r>
        <w:t xml:space="preserve">Talwar Kapoor, </w:t>
      </w:r>
      <w:r w:rsidRPr="00BC6D9B">
        <w:t xml:space="preserve">Garima </w:t>
      </w:r>
      <w:r w:rsidR="00C26F2A">
        <w:t>.</w:t>
      </w:r>
      <w:r w:rsidRPr="00BC6D9B">
        <w:t>(2020)</w:t>
      </w:r>
      <w:r w:rsidR="00C26F2A">
        <w:t>.</w:t>
      </w:r>
      <w:r w:rsidRPr="00BC6D9B">
        <w:t xml:space="preserve"> </w:t>
      </w:r>
      <w:r w:rsidRPr="00BC6D9B">
        <w:rPr>
          <w:i/>
          <w:iCs/>
        </w:rPr>
        <w:t>System Transformation in Ontario Works: Considerations for Ontario.</w:t>
      </w:r>
      <w:r w:rsidRPr="00BC6D9B">
        <w:t xml:space="preserve"> Maytree. </w:t>
      </w:r>
      <w:hyperlink r:id="rId56" w:history="1">
        <w:r w:rsidRPr="00BC6D9B">
          <w:rPr>
            <w:rStyle w:val="Hyperlink"/>
          </w:rPr>
          <w:t>https://maytree.com/wp-content/uploads/System-Transformation-in-Ontario-Works.pdf</w:t>
        </w:r>
      </w:hyperlink>
      <w:r w:rsidRPr="00BC6D9B">
        <w:t xml:space="preserve">, </w:t>
      </w:r>
      <w:r>
        <w:t xml:space="preserve">p. </w:t>
      </w:r>
      <w:r w:rsidRPr="00BC6D9B">
        <w:t>21.</w:t>
      </w:r>
    </w:p>
  </w:endnote>
  <w:endnote w:id="61">
    <w:p w14:paraId="5C318360" w14:textId="73895F82" w:rsidR="007D1E03" w:rsidRPr="00BC6D9B" w:rsidRDefault="007D1E03" w:rsidP="00CB13E3">
      <w:pPr>
        <w:pStyle w:val="EndnoteText"/>
      </w:pPr>
      <w:r w:rsidRPr="00BC6D9B">
        <w:rPr>
          <w:rStyle w:val="EndnoteReference"/>
        </w:rPr>
        <w:endnoteRef/>
      </w:r>
      <w:r w:rsidRPr="00BC6D9B">
        <w:t xml:space="preserve"> First Work. </w:t>
      </w:r>
      <w:r w:rsidR="00C26F2A">
        <w:t xml:space="preserve">(2023). </w:t>
      </w:r>
      <w:r w:rsidRPr="00BC6D9B">
        <w:rPr>
          <w:i/>
          <w:iCs/>
        </w:rPr>
        <w:t>Ontario’s Employment Services Transformation: A Good Vision</w:t>
      </w:r>
      <w:r w:rsidRPr="00BC6D9B">
        <w:t xml:space="preserve">. </w:t>
      </w:r>
      <w:hyperlink r:id="rId57" w:history="1">
        <w:r w:rsidRPr="00BC6D9B">
          <w:rPr>
            <w:rStyle w:val="Hyperlink"/>
          </w:rPr>
          <w:t>https://firstwork.org/ontarios-employment-services-transformation/</w:t>
        </w:r>
      </w:hyperlink>
      <w:r>
        <w:t>, p.</w:t>
      </w:r>
      <w:r w:rsidRPr="00BC6D9B">
        <w:t xml:space="preserve">5. </w:t>
      </w:r>
    </w:p>
  </w:endnote>
  <w:endnote w:id="62">
    <w:p w14:paraId="6A3175D2" w14:textId="3C3138DD" w:rsidR="007D1E03" w:rsidRPr="00BC6D9B" w:rsidRDefault="007D1E03" w:rsidP="00CB13E3">
      <w:pPr>
        <w:pStyle w:val="EndnoteText"/>
      </w:pPr>
      <w:r w:rsidRPr="00BC6D9B">
        <w:rPr>
          <w:rStyle w:val="EndnoteReference"/>
        </w:rPr>
        <w:endnoteRef/>
      </w:r>
      <w:r w:rsidRPr="00BC6D9B">
        <w:t xml:space="preserve"> First Work. </w:t>
      </w:r>
      <w:r w:rsidR="00C26F2A">
        <w:t xml:space="preserve">(2023). </w:t>
      </w:r>
      <w:r w:rsidRPr="00BC6D9B">
        <w:rPr>
          <w:i/>
          <w:iCs/>
        </w:rPr>
        <w:t>Ontario’s Employment Services Transformation: A Good Vision</w:t>
      </w:r>
      <w:r w:rsidRPr="00BC6D9B">
        <w:t xml:space="preserve">. </w:t>
      </w:r>
      <w:hyperlink r:id="rId58" w:history="1">
        <w:r w:rsidRPr="00BC6D9B">
          <w:rPr>
            <w:rStyle w:val="Hyperlink"/>
          </w:rPr>
          <w:t>https://firstwork.org/ontarios-employment-services-transformation/</w:t>
        </w:r>
      </w:hyperlink>
      <w:r w:rsidRPr="00BC6D9B">
        <w:t xml:space="preserve">, </w:t>
      </w:r>
      <w:r>
        <w:t xml:space="preserve">p. </w:t>
      </w:r>
      <w:r w:rsidRPr="00BC6D9B">
        <w:t>9, 14.</w:t>
      </w:r>
    </w:p>
  </w:endnote>
  <w:endnote w:id="63">
    <w:p w14:paraId="050996FA" w14:textId="429B131C" w:rsidR="007D1E03" w:rsidRPr="00BC6D9B" w:rsidRDefault="007D1E03" w:rsidP="00CB13E3">
      <w:pPr>
        <w:pStyle w:val="EndnoteText"/>
      </w:pPr>
      <w:r w:rsidRPr="00BC6D9B">
        <w:rPr>
          <w:rStyle w:val="EndnoteReference"/>
        </w:rPr>
        <w:endnoteRef/>
      </w:r>
      <w:r w:rsidRPr="00BC6D9B">
        <w:t xml:space="preserve"> First Work.</w:t>
      </w:r>
      <w:r w:rsidR="00C26F2A">
        <w:t xml:space="preserve"> (2023).</w:t>
      </w:r>
      <w:r w:rsidRPr="00BC6D9B">
        <w:t xml:space="preserve"> </w:t>
      </w:r>
      <w:r w:rsidRPr="00BC6D9B">
        <w:rPr>
          <w:i/>
          <w:iCs/>
        </w:rPr>
        <w:t>Ontario’s Employment Services Transformation: A Good Vision</w:t>
      </w:r>
      <w:r w:rsidRPr="00BC6D9B">
        <w:t xml:space="preserve">. </w:t>
      </w:r>
      <w:hyperlink r:id="rId59" w:history="1">
        <w:r w:rsidRPr="00BC6D9B">
          <w:rPr>
            <w:rStyle w:val="Hyperlink"/>
          </w:rPr>
          <w:t>https://firstwork.org/ontarios-employment-services-transformation/</w:t>
        </w:r>
      </w:hyperlink>
      <w:r w:rsidRPr="00BC6D9B">
        <w:t xml:space="preserve">, </w:t>
      </w:r>
      <w:r>
        <w:t xml:space="preserve">p. </w:t>
      </w:r>
      <w:r w:rsidRPr="00BC6D9B">
        <w:t xml:space="preserve">12. </w:t>
      </w:r>
    </w:p>
  </w:endnote>
  <w:endnote w:id="64">
    <w:p w14:paraId="54DFF807" w14:textId="5F39C87E" w:rsidR="007D1E03" w:rsidRPr="00BC6D9B" w:rsidRDefault="007D1E03" w:rsidP="00CB13E3">
      <w:pPr>
        <w:pStyle w:val="EndnoteText"/>
      </w:pPr>
      <w:r w:rsidRPr="00BC6D9B">
        <w:rPr>
          <w:rStyle w:val="EndnoteReference"/>
        </w:rPr>
        <w:endnoteRef/>
      </w:r>
      <w:r w:rsidRPr="00BC6D9B">
        <w:t xml:space="preserve"> </w:t>
      </w:r>
      <w:r>
        <w:t xml:space="preserve">Talwar Kapoor, </w:t>
      </w:r>
      <w:r w:rsidRPr="00BC6D9B">
        <w:t>Garima</w:t>
      </w:r>
      <w:r w:rsidR="00C26F2A">
        <w:t>.</w:t>
      </w:r>
      <w:r w:rsidRPr="00BC6D9B">
        <w:t xml:space="preserve"> (2020)</w:t>
      </w:r>
      <w:r w:rsidR="00C26F2A">
        <w:t xml:space="preserve">. </w:t>
      </w:r>
      <w:r w:rsidRPr="00BC6D9B">
        <w:rPr>
          <w:i/>
          <w:iCs/>
        </w:rPr>
        <w:t>System Transformation in Ontario Works: Considerations for Ontario.</w:t>
      </w:r>
      <w:r w:rsidRPr="00BC6D9B">
        <w:t xml:space="preserve"> Maytree. </w:t>
      </w:r>
      <w:hyperlink r:id="rId60" w:history="1">
        <w:r w:rsidRPr="00BC6D9B">
          <w:rPr>
            <w:rStyle w:val="Hyperlink"/>
          </w:rPr>
          <w:t>https://maytree.com/wp-content/uploads/System-Transformation-in-Ontario-Works.pdf</w:t>
        </w:r>
      </w:hyperlink>
      <w:r w:rsidRPr="00BC6D9B">
        <w:t>,</w:t>
      </w:r>
      <w:r>
        <w:t xml:space="preserve"> p. </w:t>
      </w:r>
      <w:r w:rsidRPr="00BC6D9B">
        <w:t>6.</w:t>
      </w:r>
    </w:p>
  </w:endnote>
  <w:endnote w:id="65">
    <w:p w14:paraId="3C9A4F44" w14:textId="46CD773E" w:rsidR="007D1E03" w:rsidRPr="00BC6D9B" w:rsidRDefault="007D1E03" w:rsidP="00CB13E3">
      <w:pPr>
        <w:pStyle w:val="EndnoteText"/>
      </w:pPr>
      <w:r w:rsidRPr="00BC6D9B">
        <w:rPr>
          <w:rStyle w:val="EndnoteReference"/>
        </w:rPr>
        <w:endnoteRef/>
      </w:r>
      <w:r w:rsidRPr="00BC6D9B">
        <w:t xml:space="preserve"> John Stapleton</w:t>
      </w:r>
      <w:r w:rsidR="00C26F2A">
        <w:t>.</w:t>
      </w:r>
      <w:r w:rsidRPr="00BC6D9B">
        <w:t xml:space="preserve"> (2013). </w:t>
      </w:r>
      <w:r w:rsidRPr="00BC6D9B">
        <w:rPr>
          <w:i/>
          <w:iCs/>
        </w:rPr>
        <w:t>The “Welfareization” of  Disability Incomes in Ontario</w:t>
      </w:r>
      <w:r w:rsidRPr="00BC6D9B">
        <w:t xml:space="preserve">. Metcalfe Foundation. </w:t>
      </w:r>
      <w:hyperlink r:id="rId61" w:history="1">
        <w:r w:rsidRPr="00BC6D9B">
          <w:rPr>
            <w:rStyle w:val="Hyperlink"/>
          </w:rPr>
          <w:t>https://metcalffoundation.com/site/uploads/2013/12/Welfareization-of-Disability-Incomes-in-Ontario.pdf</w:t>
        </w:r>
      </w:hyperlink>
      <w:r w:rsidRPr="00BC6D9B">
        <w:t xml:space="preserve">, </w:t>
      </w:r>
      <w:r>
        <w:t xml:space="preserve">p. </w:t>
      </w:r>
      <w:r w:rsidRPr="00BC6D9B">
        <w:t>5.</w:t>
      </w:r>
    </w:p>
  </w:endnote>
  <w:endnote w:id="66">
    <w:p w14:paraId="6CADE76F" w14:textId="53646DD3" w:rsidR="007D1E03" w:rsidRPr="00BC6D9B" w:rsidRDefault="007D1E03" w:rsidP="00CB13E3">
      <w:pPr>
        <w:pStyle w:val="EndnoteText"/>
      </w:pPr>
      <w:r w:rsidRPr="00BC6D9B">
        <w:rPr>
          <w:rStyle w:val="EndnoteReference"/>
        </w:rPr>
        <w:endnoteRef/>
      </w:r>
      <w:r w:rsidRPr="00BC6D9B">
        <w:t xml:space="preserve"> Income Security Advocacy Centre</w:t>
      </w:r>
      <w:r w:rsidR="00C26F2A">
        <w:t>.</w:t>
      </w:r>
      <w:r w:rsidRPr="00BC6D9B">
        <w:t xml:space="preserve"> (2019). </w:t>
      </w:r>
      <w:r w:rsidRPr="00BC6D9B">
        <w:rPr>
          <w:i/>
          <w:iCs/>
        </w:rPr>
        <w:t>ODSP expenditures have increased because the program is better meeting the needs of Ontarians with disabilities: ISAC responds to the Auditor General’s Report</w:t>
      </w:r>
      <w:r w:rsidRPr="00BC6D9B">
        <w:t xml:space="preserve">. </w:t>
      </w:r>
      <w:hyperlink r:id="rId62" w:history="1">
        <w:r w:rsidRPr="00BC6D9B">
          <w:rPr>
            <w:rStyle w:val="Hyperlink"/>
          </w:rPr>
          <w:t>http://incomesecurity.org/policy-advocacy/odsp-expenditures-have-increased-because-the-program-is-better-meeting-the-needs-of-ontarians-with-disabilities-isac-responds-to-the-auditor-generals-report/</w:t>
        </w:r>
      </w:hyperlink>
      <w:r w:rsidRPr="00BC6D9B">
        <w:rPr>
          <w:rStyle w:val="Hyperlink"/>
        </w:rPr>
        <w:t>.</w:t>
      </w:r>
    </w:p>
  </w:endnote>
  <w:endnote w:id="67">
    <w:p w14:paraId="4DAB7D85" w14:textId="4ED60B7F" w:rsidR="007D1E03" w:rsidRPr="00BC6D9B" w:rsidRDefault="007D1E03" w:rsidP="00CB13E3">
      <w:pPr>
        <w:pStyle w:val="EndnoteText"/>
      </w:pPr>
      <w:r w:rsidRPr="00BC6D9B">
        <w:rPr>
          <w:rStyle w:val="EndnoteReference"/>
        </w:rPr>
        <w:endnoteRef/>
      </w:r>
      <w:r w:rsidRPr="00BC6D9B">
        <w:t xml:space="preserve"> Stuart Morris, Gail Fawcett, Linden R. Timoney and Jeffrey Hughes</w:t>
      </w:r>
      <w:r w:rsidR="00C26F2A">
        <w:t>.</w:t>
      </w:r>
      <w:r w:rsidRPr="00BC6D9B">
        <w:t xml:space="preserve"> (2019) </w:t>
      </w:r>
      <w:r w:rsidRPr="00BC6D9B">
        <w:rPr>
          <w:i/>
          <w:iCs/>
        </w:rPr>
        <w:t xml:space="preserve">The Dynamics of Disability: Progressive, Recurrent or Fluctuating Limitations. </w:t>
      </w:r>
      <w:r w:rsidRPr="00BC6D9B">
        <w:t xml:space="preserve">Statistics Canada. Retrieved </w:t>
      </w:r>
      <w:r>
        <w:t>from Statistics Canada website:</w:t>
      </w:r>
      <w:r w:rsidRPr="00BC6D9B">
        <w:t xml:space="preserve"> </w:t>
      </w:r>
      <w:hyperlink r:id="rId63" w:history="1">
        <w:r w:rsidRPr="00BC6D9B">
          <w:rPr>
            <w:rStyle w:val="Hyperlink"/>
          </w:rPr>
          <w:t>https://www150.statcan.gc.ca/n1/en/pub/89-654-x/89-654-x2019002-eng.pdf?st=NjjE63zT</w:t>
        </w:r>
      </w:hyperlink>
      <w:r w:rsidRPr="00BC6D9B">
        <w:t xml:space="preserve">,  27. </w:t>
      </w:r>
    </w:p>
  </w:endnote>
  <w:endnote w:id="68">
    <w:p w14:paraId="006BBB4F" w14:textId="0483EACC" w:rsidR="007D1E03" w:rsidRPr="00BC6D9B" w:rsidRDefault="007D1E03" w:rsidP="00CB13E3">
      <w:pPr>
        <w:pStyle w:val="EndnoteText"/>
      </w:pPr>
      <w:r w:rsidRPr="00BC6D9B">
        <w:rPr>
          <w:rStyle w:val="EndnoteReference"/>
        </w:rPr>
        <w:endnoteRef/>
      </w:r>
      <w:r w:rsidRPr="00BC6D9B">
        <w:t xml:space="preserve"> Noah Zon and Thomas Granofsky</w:t>
      </w:r>
      <w:r w:rsidR="00C26F2A">
        <w:t>.</w:t>
      </w:r>
      <w:r w:rsidRPr="00BC6D9B">
        <w:t xml:space="preserve"> (2019). </w:t>
      </w:r>
      <w:r w:rsidRPr="00BC6D9B">
        <w:rPr>
          <w:i/>
          <w:iCs/>
        </w:rPr>
        <w:t>Resetting Social Assistance Reform</w:t>
      </w:r>
      <w:r w:rsidRPr="00BC6D9B">
        <w:t xml:space="preserve">. Ontario 360. </w:t>
      </w:r>
      <w:hyperlink r:id="rId64" w:history="1">
        <w:r w:rsidRPr="00BC6D9B">
          <w:rPr>
            <w:rStyle w:val="Hyperlink"/>
          </w:rPr>
          <w:t>https://on360.ca/policy-papers/resetting-social-assistance-reform/</w:t>
        </w:r>
      </w:hyperlink>
      <w:r w:rsidRPr="00BC6D9B">
        <w:t xml:space="preserve">,  </w:t>
      </w:r>
      <w:r>
        <w:t xml:space="preserve">p. </w:t>
      </w:r>
      <w:r w:rsidRPr="00BC6D9B">
        <w:t>21.</w:t>
      </w:r>
    </w:p>
  </w:endnote>
  <w:endnote w:id="69">
    <w:p w14:paraId="41E51978" w14:textId="53D3378D" w:rsidR="007D1E03" w:rsidRPr="00BC6D9B" w:rsidRDefault="007D1E03" w:rsidP="00CB13E3">
      <w:pPr>
        <w:pStyle w:val="EndnoteText"/>
        <w:rPr>
          <w:highlight w:val="yellow"/>
        </w:rPr>
      </w:pPr>
      <w:r w:rsidRPr="00BC6D9B">
        <w:rPr>
          <w:rStyle w:val="EndnoteReference"/>
        </w:rPr>
        <w:endnoteRef/>
      </w:r>
      <w:r w:rsidRPr="00BC6D9B">
        <w:t xml:space="preserve"> Accessibility Directorate of Ontario </w:t>
      </w:r>
      <w:r w:rsidR="00C26F2A">
        <w:t>.</w:t>
      </w:r>
      <w:r w:rsidRPr="00BC6D9B">
        <w:t xml:space="preserve">(2017). </w:t>
      </w:r>
      <w:r w:rsidRPr="00BC6D9B">
        <w:rPr>
          <w:i/>
          <w:iCs/>
        </w:rPr>
        <w:t>Accessibility compliance and enforcement report 2017</w:t>
      </w:r>
      <w:r w:rsidRPr="00BC6D9B">
        <w:t xml:space="preserve">. </w:t>
      </w:r>
      <w:hyperlink r:id="rId65" w:history="1">
        <w:r w:rsidRPr="00BC6D9B">
          <w:rPr>
            <w:rStyle w:val="Hyperlink"/>
          </w:rPr>
          <w:t>https://files.ontario.ca/accessibility_compliance_and_enforcement_report_2017.pdf</w:t>
        </w:r>
      </w:hyperlink>
      <w:r w:rsidRPr="00BC6D9B">
        <w:t>, pp. 7-8.</w:t>
      </w:r>
    </w:p>
  </w:endnote>
  <w:endnote w:id="70">
    <w:p w14:paraId="4FC5CD35" w14:textId="6906F2D6" w:rsidR="007D1E03" w:rsidRPr="000623D7" w:rsidRDefault="007D1E03">
      <w:pPr>
        <w:pStyle w:val="EndnoteText"/>
      </w:pPr>
      <w:r>
        <w:rPr>
          <w:rStyle w:val="EndnoteReference"/>
        </w:rPr>
        <w:endnoteRef/>
      </w:r>
      <w:r>
        <w:t xml:space="preserve"> Pedersen, Katie, Virginia Smart, David Common</w:t>
      </w:r>
      <w:r w:rsidR="00C26F2A">
        <w:t>.</w:t>
      </w:r>
      <w:r>
        <w:t xml:space="preserve"> (2023, January 13). </w:t>
      </w:r>
      <w:r>
        <w:rPr>
          <w:i/>
          <w:iCs/>
        </w:rPr>
        <w:t>Why are Canadians’ cellphone bills higher than other countries?</w:t>
      </w:r>
      <w:r>
        <w:t xml:space="preserve"> CBC News. </w:t>
      </w:r>
      <w:hyperlink r:id="rId66" w:history="1">
        <w:r w:rsidRPr="00047B44">
          <w:rPr>
            <w:rStyle w:val="Hyperlink"/>
          </w:rPr>
          <w:t>https://www.cbc.ca/news/business/marketplace-high-cell-phone-bills-1.6711205</w:t>
        </w:r>
      </w:hyperlink>
      <w:r>
        <w:t xml:space="preserve">. </w:t>
      </w:r>
    </w:p>
  </w:endnote>
  <w:endnote w:id="71">
    <w:p w14:paraId="62FFC5A2" w14:textId="4A9EFB0C" w:rsidR="007D1E03" w:rsidRPr="00BC6D9B" w:rsidRDefault="007D1E03" w:rsidP="00CB13E3">
      <w:pPr>
        <w:pStyle w:val="EndnoteText"/>
      </w:pPr>
      <w:r w:rsidRPr="00BC6D9B">
        <w:rPr>
          <w:rStyle w:val="EndnoteReference"/>
        </w:rPr>
        <w:endnoteRef/>
      </w:r>
      <w:r w:rsidRPr="00BC6D9B">
        <w:t xml:space="preserve"> Hopper, Tristin</w:t>
      </w:r>
      <w:r w:rsidR="00C26F2A">
        <w:t>.</w:t>
      </w:r>
      <w:r w:rsidRPr="00BC6D9B">
        <w:t xml:space="preserve"> (10 October, 2021). </w:t>
      </w:r>
      <w:r w:rsidRPr="0099764C">
        <w:rPr>
          <w:i/>
          <w:iCs/>
        </w:rPr>
        <w:t>Canada’s wireless costs continue to be the highest or among the highest in the world: Finish report.</w:t>
      </w:r>
      <w:r w:rsidRPr="00BC6D9B">
        <w:t xml:space="preserve"> </w:t>
      </w:r>
      <w:r w:rsidRPr="0099764C">
        <w:t>National Post.</w:t>
      </w:r>
      <w:r w:rsidRPr="00BC6D9B">
        <w:t xml:space="preserve"> </w:t>
      </w:r>
      <w:hyperlink r:id="rId67" w:history="1">
        <w:r w:rsidRPr="00BC6D9B">
          <w:rPr>
            <w:rStyle w:val="Hyperlink"/>
          </w:rPr>
          <w:t>https://nationalpost.com/news/canada/canadas-wireless-costs-continue-to-be-the-highest-or-among-the-highest-in-the-world-finnish-report</w:t>
        </w:r>
      </w:hyperlink>
      <w:r w:rsidRPr="00BC6D9B">
        <w:t xml:space="preserve">. </w:t>
      </w:r>
    </w:p>
  </w:endnote>
  <w:endnote w:id="72">
    <w:p w14:paraId="0CD69E7C" w14:textId="0EE29420" w:rsidR="007D1E03" w:rsidRDefault="007D1E03">
      <w:pPr>
        <w:pStyle w:val="EndnoteText"/>
      </w:pPr>
      <w:r>
        <w:rPr>
          <w:rStyle w:val="EndnoteReference"/>
        </w:rPr>
        <w:endnoteRef/>
      </w:r>
      <w:r>
        <w:t xml:space="preserve"> Nothwehr, Benjamin, Omar Akeileh, Diane Dyson. (2022). </w:t>
      </w:r>
      <w:r>
        <w:rPr>
          <w:i/>
          <w:iCs/>
        </w:rPr>
        <w:t>Who’s Hungry Report 2022: A Story of A System Under Strain</w:t>
      </w:r>
      <w:r>
        <w:t xml:space="preserve">. Daily Bread Food Bank. </w:t>
      </w:r>
      <w:hyperlink r:id="rId68" w:history="1">
        <w:r w:rsidRPr="00047B44">
          <w:rPr>
            <w:rStyle w:val="Hyperlink"/>
          </w:rPr>
          <w:t>https://www.dailybread.ca/wp-content/uploads/2022/11/DB-WhosHungryReport-2022-Digital-1.pdf</w:t>
        </w:r>
      </w:hyperlink>
      <w:r>
        <w:t xml:space="preserve">, p. 6. </w:t>
      </w:r>
    </w:p>
  </w:endnote>
  <w:endnote w:id="73">
    <w:p w14:paraId="1D80F026" w14:textId="5011C623" w:rsidR="007D1E03" w:rsidRDefault="007D1E03" w:rsidP="00734369">
      <w:pPr>
        <w:pStyle w:val="EndnoteText"/>
      </w:pPr>
      <w:r>
        <w:rPr>
          <w:rStyle w:val="FootnoteReference"/>
        </w:rPr>
        <w:endnoteRef/>
      </w:r>
      <w:r>
        <w:t xml:space="preserve"> Tribunals Ontario</w:t>
      </w:r>
      <w:r w:rsidR="00C26F2A">
        <w:t>.</w:t>
      </w:r>
      <w:r>
        <w:t xml:space="preserve"> (2022.) </w:t>
      </w:r>
      <w:r w:rsidRPr="00A66EA8">
        <w:rPr>
          <w:i/>
          <w:iCs/>
        </w:rPr>
        <w:t>2021-22 Annual Report</w:t>
      </w:r>
      <w:r>
        <w:t xml:space="preserve">. </w:t>
      </w:r>
      <w:hyperlink r:id="rId69" w:anchor="hrto" w:history="1">
        <w:r w:rsidRPr="00047B44">
          <w:rPr>
            <w:rStyle w:val="Hyperlink"/>
          </w:rPr>
          <w:t>https://tribunalsontario.ca/documents/TO/Tribunals_Ontario_2021-2022_Annual_Report.html#hrto</w:t>
        </w:r>
      </w:hyperlink>
      <w:r>
        <w:t>.</w:t>
      </w:r>
    </w:p>
  </w:endnote>
  <w:endnote w:id="74">
    <w:p w14:paraId="0179A6E2" w14:textId="54EB1131" w:rsidR="007D1E03" w:rsidRDefault="007D1E03">
      <w:pPr>
        <w:pStyle w:val="EndnoteText"/>
      </w:pPr>
      <w:r>
        <w:rPr>
          <w:rStyle w:val="EndnoteReference"/>
        </w:rPr>
        <w:endnoteRef/>
      </w:r>
      <w:r>
        <w:t xml:space="preserve"> Tribunals Ontario</w:t>
      </w:r>
      <w:r w:rsidR="00C26F2A">
        <w:t>.</w:t>
      </w:r>
      <w:r>
        <w:t xml:space="preserve"> (2022). </w:t>
      </w:r>
      <w:r w:rsidRPr="00A66EA8">
        <w:rPr>
          <w:i/>
          <w:iCs/>
        </w:rPr>
        <w:t>2021-22 Annual Report</w:t>
      </w:r>
      <w:r>
        <w:t xml:space="preserve">. </w:t>
      </w:r>
      <w:hyperlink r:id="rId70" w:anchor="hrto" w:history="1">
        <w:r w:rsidRPr="00047B44">
          <w:rPr>
            <w:rStyle w:val="Hyperlink"/>
          </w:rPr>
          <w:t>https://tribunalsontario.ca/documents/TO/Tribunals_Ontario_2021-2022_Annual_Report.html#hrto</w:t>
        </w:r>
      </w:hyperlink>
      <w:r>
        <w:t>.</w:t>
      </w:r>
    </w:p>
  </w:endnote>
  <w:endnote w:id="75">
    <w:p w14:paraId="0C5A1F68" w14:textId="501B4DB0" w:rsidR="007D1E03" w:rsidRDefault="007D1E03">
      <w:pPr>
        <w:pStyle w:val="EndnoteText"/>
      </w:pPr>
      <w:r>
        <w:rPr>
          <w:rStyle w:val="EndnoteReference"/>
        </w:rPr>
        <w:endnoteRef/>
      </w:r>
      <w:r>
        <w:t xml:space="preserve"> Tribunal Watch Ontario. (2023). </w:t>
      </w:r>
      <w:r w:rsidRPr="00A66EA8">
        <w:rPr>
          <w:i/>
          <w:iCs/>
        </w:rPr>
        <w:t>The Human Rights Tribunal of Ontario: What Needs to Happen</w:t>
      </w:r>
      <w:r>
        <w:t xml:space="preserve">. </w:t>
      </w:r>
      <w:hyperlink r:id="rId71" w:history="1">
        <w:r w:rsidRPr="00F55301">
          <w:rPr>
            <w:rStyle w:val="Hyperlink"/>
          </w:rPr>
          <w:t>https://tribunalwatch.ca/wp-content/uploads/2023/01/The-Human-Rights-Tribunal-What-Needs-to-Happpen.pdf</w:t>
        </w:r>
      </w:hyperlink>
      <w:r>
        <w:t xml:space="preserve">. </w:t>
      </w:r>
    </w:p>
  </w:endnote>
  <w:endnote w:id="76">
    <w:p w14:paraId="3978EEF2" w14:textId="58FF74E4" w:rsidR="007D1E03" w:rsidRPr="00193523" w:rsidRDefault="007D1E03">
      <w:pPr>
        <w:pStyle w:val="EndnoteText"/>
        <w:rPr>
          <w:lang w:val="fr-CA"/>
        </w:rPr>
      </w:pPr>
      <w:r>
        <w:rPr>
          <w:rStyle w:val="EndnoteReference"/>
        </w:rPr>
        <w:endnoteRef/>
      </w:r>
      <w:r>
        <w:t xml:space="preserve"> Ontario Today</w:t>
      </w:r>
      <w:r w:rsidR="00C26F2A">
        <w:t>.</w:t>
      </w:r>
      <w:r>
        <w:t xml:space="preserve"> (2023, January 19). </w:t>
      </w:r>
      <w:r w:rsidRPr="00A66EA8">
        <w:rPr>
          <w:i/>
          <w:iCs/>
        </w:rPr>
        <w:t>Delays at Ontario’s Human Rights Tribunal</w:t>
      </w:r>
      <w:r>
        <w:t xml:space="preserve">. </w:t>
      </w:r>
      <w:r w:rsidRPr="00193523">
        <w:rPr>
          <w:lang w:val="fr-CA"/>
        </w:rPr>
        <w:t xml:space="preserve">CBC Listen. </w:t>
      </w:r>
      <w:hyperlink r:id="rId72" w:history="1">
        <w:r w:rsidRPr="00193523">
          <w:rPr>
            <w:rStyle w:val="Hyperlink"/>
            <w:lang w:val="fr-CA"/>
          </w:rPr>
          <w:t>https://www.cbc.ca/listen/live-radio/1-45-ontario-today</w:t>
        </w:r>
      </w:hyperlink>
      <w:r w:rsidRPr="00193523">
        <w:rPr>
          <w:lang w:val="fr-CA"/>
        </w:rPr>
        <w:t xml:space="preserve">.   </w:t>
      </w:r>
    </w:p>
  </w:endnote>
  <w:endnote w:id="77">
    <w:p w14:paraId="78313E59" w14:textId="6D588035" w:rsidR="007D1E03" w:rsidRDefault="007D1E03">
      <w:pPr>
        <w:pStyle w:val="EndnoteText"/>
      </w:pPr>
      <w:r>
        <w:rPr>
          <w:rStyle w:val="EndnoteReference"/>
        </w:rPr>
        <w:endnoteRef/>
      </w:r>
      <w:r w:rsidRPr="00193523">
        <w:rPr>
          <w:lang w:val="fr-CA"/>
        </w:rPr>
        <w:t xml:space="preserve"> Amira Elghawaby. </w:t>
      </w:r>
      <w:r>
        <w:t xml:space="preserve">(2023, January 11). </w:t>
      </w:r>
      <w:r w:rsidRPr="00A66EA8">
        <w:rPr>
          <w:i/>
          <w:iCs/>
        </w:rPr>
        <w:t>Ontarians’ human rights are at risk because the system designed to protect them is broken</w:t>
      </w:r>
      <w:r>
        <w:t xml:space="preserve">. </w:t>
      </w:r>
      <w:r w:rsidRPr="00A66EA8">
        <w:rPr>
          <w:iCs/>
        </w:rPr>
        <w:t>The Toronto Star</w:t>
      </w:r>
      <w:r>
        <w:t xml:space="preserve">. </w:t>
      </w:r>
      <w:hyperlink r:id="rId73" w:history="1">
        <w:r w:rsidRPr="00F55301">
          <w:rPr>
            <w:rStyle w:val="Hyperlink"/>
          </w:rPr>
          <w:t>https://www.thestar.com/opinion/contributors/2023/01/11/ontarians-human-rights-are-at-risk-because-the-system-designed-to-protect-them-is-broken.html</w:t>
        </w:r>
      </w:hyperlink>
      <w:r>
        <w:t>.</w:t>
      </w:r>
    </w:p>
  </w:endnote>
  <w:endnote w:id="78">
    <w:p w14:paraId="632FB2FA" w14:textId="712505A2" w:rsidR="007D1E03" w:rsidRDefault="007D1E03">
      <w:pPr>
        <w:pStyle w:val="EndnoteText"/>
      </w:pPr>
      <w:r>
        <w:rPr>
          <w:rStyle w:val="EndnoteReference"/>
        </w:rPr>
        <w:endnoteRef/>
      </w:r>
      <w:r>
        <w:t xml:space="preserve"> Tribunal Watch Ontario (2023). </w:t>
      </w:r>
      <w:r w:rsidRPr="00370D3A">
        <w:rPr>
          <w:i/>
          <w:iCs/>
        </w:rPr>
        <w:t>The Human Rights Tribunal of Ontario: What Needs to Happen</w:t>
      </w:r>
      <w:r>
        <w:t xml:space="preserve">. </w:t>
      </w:r>
      <w:hyperlink r:id="rId74" w:history="1">
        <w:r w:rsidRPr="00F55301">
          <w:rPr>
            <w:rStyle w:val="Hyperlink"/>
          </w:rPr>
          <w:t>https://tribunalwatch.ca/wp-content/uploads/2023/01/The-Human-Rights-Tribunal-What-Needs-to-Happpen.pdf</w:t>
        </w:r>
      </w:hyperlink>
      <w:r>
        <w:t xml:space="preserve">. </w:t>
      </w:r>
      <w:r w:rsidRPr="008A7384">
        <w:t xml:space="preserve"> </w:t>
      </w:r>
    </w:p>
  </w:endnote>
  <w:endnote w:id="79">
    <w:p w14:paraId="51CED61B" w14:textId="416581EB" w:rsidR="007D1E03" w:rsidRDefault="007D1E03">
      <w:pPr>
        <w:pStyle w:val="EndnoteText"/>
      </w:pPr>
      <w:r>
        <w:rPr>
          <w:rStyle w:val="EndnoteReference"/>
        </w:rPr>
        <w:endnoteRef/>
      </w:r>
      <w:r>
        <w:t xml:space="preserve"> Tribunal Watch Ontario</w:t>
      </w:r>
      <w:r w:rsidR="00C26F2A">
        <w:t xml:space="preserve">. </w:t>
      </w:r>
      <w:r>
        <w:t xml:space="preserve">(2023). </w:t>
      </w:r>
      <w:r w:rsidRPr="00370D3A">
        <w:rPr>
          <w:i/>
          <w:iCs/>
        </w:rPr>
        <w:t>The Human Rights Tribunal of Ontario: What Needs to Happen</w:t>
      </w:r>
      <w:r>
        <w:t xml:space="preserve">. </w:t>
      </w:r>
      <w:hyperlink r:id="rId75" w:history="1">
        <w:r w:rsidRPr="00F55301">
          <w:rPr>
            <w:rStyle w:val="Hyperlink"/>
          </w:rPr>
          <w:t>https://tribunalwatch.ca/wp-content/uploads/2023/01/The-Human-Rights-Tribunal-What-Needs-to-Happpen.pdf</w:t>
        </w:r>
      </w:hyperlink>
      <w:r>
        <w:t xml:space="preserve">. </w:t>
      </w:r>
      <w:r w:rsidRPr="008A7384">
        <w:t xml:space="preserve"> </w:t>
      </w:r>
    </w:p>
  </w:endnote>
  <w:endnote w:id="80">
    <w:p w14:paraId="37487E3F" w14:textId="4DFE94BA" w:rsidR="007D1E03" w:rsidRPr="0039494B" w:rsidRDefault="007D1E03" w:rsidP="0039494B">
      <w:pPr>
        <w:rPr>
          <w:sz w:val="20"/>
          <w:szCs w:val="20"/>
        </w:rPr>
      </w:pPr>
      <w:r w:rsidRPr="0039494B">
        <w:rPr>
          <w:rStyle w:val="EndnoteReference"/>
          <w:sz w:val="20"/>
          <w:szCs w:val="20"/>
        </w:rPr>
        <w:endnoteRef/>
      </w:r>
      <w:r w:rsidRPr="0039494B">
        <w:rPr>
          <w:sz w:val="20"/>
          <w:szCs w:val="20"/>
        </w:rPr>
        <w:t xml:space="preserve"> ISAC supports the recommendations made in the Alliance for Sustainable Legal Aid submission to Minister Bethlenfalvy, December 23, 2022.</w:t>
      </w:r>
    </w:p>
  </w:endnote>
  <w:endnote w:id="81">
    <w:p w14:paraId="732002F0" w14:textId="7A54E6D6" w:rsidR="007D1E03" w:rsidRPr="00BC6D9B" w:rsidRDefault="007D1E03" w:rsidP="00F4014D">
      <w:pPr>
        <w:pStyle w:val="EndnoteText"/>
      </w:pPr>
      <w:r w:rsidRPr="00BC6D9B">
        <w:rPr>
          <w:rStyle w:val="EndnoteReference"/>
        </w:rPr>
        <w:endnoteRef/>
      </w:r>
      <w:r w:rsidRPr="00BC6D9B">
        <w:t xml:space="preserve"> Tumilty, Ryan. (2019, April 12). </w:t>
      </w:r>
      <w:r w:rsidRPr="00370D3A">
        <w:rPr>
          <w:i/>
          <w:iCs/>
        </w:rPr>
        <w:t>Legal Aid funding cut nearly 30% in Ontario budget</w:t>
      </w:r>
      <w:r w:rsidRPr="00BC6D9B">
        <w:t xml:space="preserve">. </w:t>
      </w:r>
      <w:r w:rsidRPr="00370D3A">
        <w:t>CB</w:t>
      </w:r>
      <w:r>
        <w:t>C News.</w:t>
      </w:r>
      <w:r w:rsidRPr="00BC6D9B">
        <w:t xml:space="preserve"> </w:t>
      </w:r>
      <w:hyperlink r:id="rId76" w:history="1">
        <w:r w:rsidRPr="00BC6D9B">
          <w:rPr>
            <w:rStyle w:val="Hyperlink"/>
          </w:rPr>
          <w:t>https://www.cbc.ca/news/canada/ottawa/ontario-legal-aid-funding-cut-1.5095058</w:t>
        </w:r>
      </w:hyperlink>
      <w:r w:rsidRPr="00BC6D9B">
        <w:t xml:space="preserve">. </w:t>
      </w:r>
    </w:p>
  </w:endnote>
  <w:endnote w:id="82">
    <w:p w14:paraId="2E1D990A" w14:textId="6E35DE06" w:rsidR="007D1E03" w:rsidRPr="00BC6D9B" w:rsidRDefault="007D1E03" w:rsidP="00F4014D">
      <w:pPr>
        <w:pStyle w:val="EndnoteText"/>
      </w:pPr>
      <w:r w:rsidRPr="00BC6D9B">
        <w:rPr>
          <w:rStyle w:val="EndnoteReference"/>
        </w:rPr>
        <w:endnoteRef/>
      </w:r>
      <w:r w:rsidRPr="00BC6D9B">
        <w:t xml:space="preserve"> Moore, Lisa and Trevor C.W. Farrow</w:t>
      </w:r>
      <w:r w:rsidR="00C26F2A">
        <w:t>.</w:t>
      </w:r>
      <w:r w:rsidRPr="00BC6D9B">
        <w:t xml:space="preserve"> (2019). </w:t>
      </w:r>
      <w:r w:rsidRPr="00BC6D9B">
        <w:rPr>
          <w:iCs/>
        </w:rPr>
        <w:t>Investing in Justice – A Literature Review in Support of the Case for Improved Access.</w:t>
      </w:r>
      <w:r w:rsidRPr="00BC6D9B">
        <w:t xml:space="preserve"> </w:t>
      </w:r>
      <w:r w:rsidRPr="00BC6D9B">
        <w:rPr>
          <w:i/>
          <w:iCs/>
        </w:rPr>
        <w:t xml:space="preserve">Canadian Forum on Civil Justice. </w:t>
      </w:r>
      <w:hyperlink r:id="rId77" w:history="1">
        <w:r w:rsidRPr="00BC6D9B">
          <w:rPr>
            <w:rStyle w:val="Hyperlink"/>
          </w:rPr>
          <w:t>https://cfcj-fcjc.org/wp-content/uploads/Investing-in-Justice-A-Literature-Review-in-Support-of-the-Case-for-Improved-Access-by-Lisa-Moore-and-Trevor-C-W-Farrow.pdf</w:t>
        </w:r>
      </w:hyperlink>
      <w:r w:rsidRPr="00BC6D9B">
        <w:t>.</w:t>
      </w:r>
    </w:p>
  </w:endnote>
  <w:endnote w:id="83">
    <w:p w14:paraId="6398EC37" w14:textId="23937B3A" w:rsidR="00AF2008" w:rsidRPr="00BC6D9B" w:rsidRDefault="00AF2008" w:rsidP="00AF2008">
      <w:pPr>
        <w:pStyle w:val="EndnoteText"/>
      </w:pPr>
      <w:r w:rsidRPr="00BC6D9B">
        <w:rPr>
          <w:rStyle w:val="EndnoteReference"/>
        </w:rPr>
        <w:endnoteRef/>
      </w:r>
      <w:r w:rsidRPr="00BC6D9B">
        <w:t xml:space="preserve">  Wallace, Kenyon</w:t>
      </w:r>
      <w:r w:rsidR="00C26F2A">
        <w:t>.</w:t>
      </w:r>
      <w:r w:rsidRPr="00BC6D9B">
        <w:t xml:space="preserve"> (2022</w:t>
      </w:r>
      <w:r>
        <w:t>, December 28</w:t>
      </w:r>
      <w:r w:rsidRPr="00BC6D9B">
        <w:t xml:space="preserve">). </w:t>
      </w:r>
      <w:r w:rsidRPr="00BC6D9B">
        <w:rPr>
          <w:i/>
        </w:rPr>
        <w:t>Why in Ontario and in Canada, this became COVID’s deadliest year</w:t>
      </w:r>
      <w:r w:rsidRPr="00BC6D9B">
        <w:t xml:space="preserve">. The Toronto Star. </w:t>
      </w:r>
      <w:hyperlink r:id="rId78" w:history="1">
        <w:r w:rsidRPr="00047B44">
          <w:rPr>
            <w:rStyle w:val="Hyperlink"/>
          </w:rPr>
          <w:t>https://www.thestar.com/news/analysis/2022/12/27/why-in-ontario-and-in-canada-this-became-covids-deadliest-year.html</w:t>
        </w:r>
      </w:hyperlink>
      <w:r>
        <w:t>.</w:t>
      </w:r>
      <w:r w:rsidRPr="00BC6D9B">
        <w:t xml:space="preserve">   </w:t>
      </w:r>
    </w:p>
  </w:endnote>
  <w:endnote w:id="84">
    <w:p w14:paraId="7CAAF59C" w14:textId="6BEB1B09" w:rsidR="00AF2008" w:rsidRPr="00BC6D9B" w:rsidRDefault="00AF2008" w:rsidP="00AF2008">
      <w:pPr>
        <w:pStyle w:val="EndnoteText"/>
      </w:pPr>
      <w:r w:rsidRPr="00BC6D9B">
        <w:rPr>
          <w:rStyle w:val="EndnoteReference"/>
        </w:rPr>
        <w:endnoteRef/>
      </w:r>
      <w:r w:rsidRPr="00BC6D9B">
        <w:t xml:space="preserve"> Xenia Scheil-Adlung and Lydia Sandner</w:t>
      </w:r>
      <w:r w:rsidR="00C26F2A">
        <w:t>.</w:t>
      </w:r>
      <w:r w:rsidRPr="00BC6D9B">
        <w:t xml:space="preserve"> (2010). </w:t>
      </w:r>
      <w:r w:rsidRPr="00BC6D9B">
        <w:rPr>
          <w:i/>
          <w:iCs/>
        </w:rPr>
        <w:t xml:space="preserve">The Case for Paid Sick Leave. World Health Report Background Paper. </w:t>
      </w:r>
      <w:r w:rsidRPr="00BC6D9B">
        <w:t>World Health Organization.</w:t>
      </w:r>
      <w:r w:rsidRPr="00BC6D9B">
        <w:rPr>
          <w:i/>
          <w:iCs/>
        </w:rPr>
        <w:t xml:space="preserve"> </w:t>
      </w:r>
      <w:hyperlink r:id="rId79" w:history="1">
        <w:r w:rsidRPr="00BC6D9B">
          <w:rPr>
            <w:rStyle w:val="Hyperlink"/>
          </w:rPr>
          <w:t>https://www.who.int/healthsystems/topics/financing/healthreport/SickleaveNo9FINAL.pdf</w:t>
        </w:r>
      </w:hyperlink>
      <w:r w:rsidRPr="00BC6D9B">
        <w:t>, p. 9.</w:t>
      </w:r>
    </w:p>
  </w:endnote>
  <w:endnote w:id="85">
    <w:p w14:paraId="459D56A3" w14:textId="77777777" w:rsidR="00AF2008" w:rsidRPr="00BC6D9B" w:rsidRDefault="00AF2008" w:rsidP="00AF2008">
      <w:pPr>
        <w:pStyle w:val="EndnoteText"/>
      </w:pPr>
      <w:r w:rsidRPr="00BC6D9B">
        <w:rPr>
          <w:rStyle w:val="EndnoteReference"/>
        </w:rPr>
        <w:endnoteRef/>
      </w:r>
      <w:r w:rsidRPr="00BC6D9B">
        <w:t xml:space="preserve"> Piper K, Youk A, James AE III, Kumar S. (2017). </w:t>
      </w:r>
      <w:r w:rsidRPr="00BC6D9B">
        <w:rPr>
          <w:iCs/>
        </w:rPr>
        <w:t>Paid sick days and stay-at-home behavior for influenza</w:t>
      </w:r>
      <w:r w:rsidRPr="00BC6D9B">
        <w:t xml:space="preserve">. </w:t>
      </w:r>
      <w:r w:rsidRPr="00BC6D9B">
        <w:rPr>
          <w:i/>
        </w:rPr>
        <w:t>PLOS ONE</w:t>
      </w:r>
      <w:r w:rsidRPr="00BC6D9B">
        <w:t xml:space="preserve">, 12(2). </w:t>
      </w:r>
      <w:hyperlink r:id="rId80" w:history="1">
        <w:r w:rsidRPr="00BC6D9B">
          <w:rPr>
            <w:rStyle w:val="Hyperlink"/>
          </w:rPr>
          <w:t>https://journals.plos.org/plosone/article?id=10.1371/journal.pone.0170698</w:t>
        </w:r>
      </w:hyperlink>
      <w:r w:rsidRPr="00BC6D9B">
        <w:t xml:space="preserve">. </w:t>
      </w:r>
    </w:p>
  </w:endnote>
  <w:endnote w:id="86">
    <w:p w14:paraId="40117385" w14:textId="3579269A" w:rsidR="00AF2008" w:rsidRPr="00BC6D9B" w:rsidRDefault="00AF2008" w:rsidP="00AF2008">
      <w:pPr>
        <w:pStyle w:val="EndnoteText"/>
      </w:pPr>
      <w:r w:rsidRPr="00BC6D9B">
        <w:rPr>
          <w:rStyle w:val="EndnoteReference"/>
        </w:rPr>
        <w:endnoteRef/>
      </w:r>
      <w:r w:rsidRPr="00BC6D9B">
        <w:t xml:space="preserve"> Decent Work and Health Network</w:t>
      </w:r>
      <w:r w:rsidR="00C26F2A">
        <w:t>.</w:t>
      </w:r>
      <w:r w:rsidRPr="00BC6D9B">
        <w:t xml:space="preserve"> (2020). </w:t>
      </w:r>
      <w:r w:rsidRPr="00BC6D9B">
        <w:rPr>
          <w:i/>
        </w:rPr>
        <w:t>Before It’s Too Late</w:t>
      </w:r>
      <w:r w:rsidRPr="00BC6D9B">
        <w:t>:</w:t>
      </w:r>
      <w:r w:rsidRPr="00BC6D9B">
        <w:rPr>
          <w:i/>
          <w:iCs/>
        </w:rPr>
        <w:t xml:space="preserve"> How to close the paid sick days gap during COVID-19 and beyond.</w:t>
      </w:r>
      <w:r>
        <w:rPr>
          <w:i/>
          <w:iCs/>
        </w:rPr>
        <w:t xml:space="preserve"> </w:t>
      </w:r>
      <w:hyperlink r:id="rId81" w:history="1">
        <w:r w:rsidRPr="00BC6D9B">
          <w:rPr>
            <w:rStyle w:val="Hyperlink"/>
          </w:rPr>
          <w:t>https://d3n8a8pro7vhmx.cloudfront.net/dwhn/pages/135/attachments/original/1604082294/DWHN_BeforeItsTooLate.pdf?1604082294</w:t>
        </w:r>
      </w:hyperlink>
      <w:r w:rsidRPr="00BC6D9B">
        <w:t>, p. 9</w:t>
      </w:r>
    </w:p>
  </w:endnote>
  <w:endnote w:id="87">
    <w:p w14:paraId="78899A04" w14:textId="03CA9F04" w:rsidR="00AF2008" w:rsidRPr="00BC6D9B" w:rsidRDefault="00AF2008" w:rsidP="00AF2008">
      <w:pPr>
        <w:pStyle w:val="EndnoteText"/>
      </w:pPr>
      <w:r w:rsidRPr="00BC6D9B">
        <w:rPr>
          <w:rStyle w:val="EndnoteReference"/>
        </w:rPr>
        <w:endnoteRef/>
      </w:r>
      <w:r w:rsidRPr="00BC6D9B">
        <w:t>Mark Daku and Jody Heymann</w:t>
      </w:r>
      <w:r w:rsidR="00C26F2A">
        <w:t>.</w:t>
      </w:r>
      <w:r w:rsidRPr="00BC6D9B">
        <w:t xml:space="preserve"> (2014).  </w:t>
      </w:r>
      <w:r w:rsidRPr="0039494B">
        <w:rPr>
          <w:iCs/>
        </w:rPr>
        <w:t>Ensuring equitable access to sick leave</w:t>
      </w:r>
      <w:r w:rsidRPr="00BC6D9B">
        <w:rPr>
          <w:i/>
          <w:iCs/>
        </w:rPr>
        <w:t>.</w:t>
      </w:r>
      <w:r w:rsidRPr="00BC6D9B">
        <w:t xml:space="preserve"> </w:t>
      </w:r>
      <w:r w:rsidRPr="00BC6D9B">
        <w:rPr>
          <w:i/>
        </w:rPr>
        <w:t>Canadian Medical Association Journal. September</w:t>
      </w:r>
      <w:r w:rsidRPr="00BC6D9B">
        <w:t xml:space="preserve">, 186(13) pp. 975-976. </w:t>
      </w:r>
      <w:hyperlink r:id="rId82" w:history="1">
        <w:r w:rsidRPr="00BC6D9B">
          <w:rPr>
            <w:rStyle w:val="Hyperlink"/>
          </w:rPr>
          <w:t>https://www.cmaj.ca/content/186/13/975</w:t>
        </w:r>
      </w:hyperlink>
      <w:r w:rsidRPr="00BC6D9B">
        <w:t>.</w:t>
      </w:r>
    </w:p>
  </w:endnote>
  <w:endnote w:id="88">
    <w:p w14:paraId="51E69073" w14:textId="77777777" w:rsidR="00AF2008" w:rsidRPr="00BC6D9B" w:rsidRDefault="00AF2008" w:rsidP="00AF2008">
      <w:pPr>
        <w:pStyle w:val="EndnoteText"/>
      </w:pPr>
      <w:r w:rsidRPr="00BC6D9B">
        <w:rPr>
          <w:rStyle w:val="EndnoteReference"/>
        </w:rPr>
        <w:endnoteRef/>
      </w:r>
      <w:r w:rsidRPr="00BC6D9B">
        <w:t xml:space="preserve"> Soumitra Bhuyan et al. (2016). </w:t>
      </w:r>
      <w:r w:rsidRPr="00BC6D9B">
        <w:rPr>
          <w:iCs/>
        </w:rPr>
        <w:t>Paid sick leave is associated with fewer ED visits among US private sector working adult</w:t>
      </w:r>
      <w:r w:rsidRPr="00BC6D9B">
        <w:rPr>
          <w:i/>
          <w:iCs/>
        </w:rPr>
        <w:t xml:space="preserve">. </w:t>
      </w:r>
      <w:r w:rsidRPr="00BC6D9B">
        <w:rPr>
          <w:i/>
        </w:rPr>
        <w:t>American Journal of Emergency Medicine</w:t>
      </w:r>
      <w:r w:rsidRPr="00BC6D9B">
        <w:t xml:space="preserve">, 34(5), pp. 784-9. </w:t>
      </w:r>
      <w:hyperlink r:id="rId83" w:history="1">
        <w:r w:rsidRPr="00BC6D9B">
          <w:rPr>
            <w:rStyle w:val="Hyperlink"/>
          </w:rPr>
          <w:t>https://pubmed.ncbi.nlm.nih.gov/26851064/</w:t>
        </w:r>
      </w:hyperlink>
      <w:r w:rsidRPr="00BC6D9B">
        <w:t>.</w:t>
      </w:r>
    </w:p>
  </w:endnote>
  <w:endnote w:id="89">
    <w:p w14:paraId="15407581" w14:textId="06CC4808" w:rsidR="00AF2008" w:rsidRPr="00BC6D9B" w:rsidRDefault="00AF2008" w:rsidP="00AF2008">
      <w:pPr>
        <w:pStyle w:val="EndnoteText"/>
      </w:pPr>
      <w:r w:rsidRPr="00BC6D9B">
        <w:rPr>
          <w:rStyle w:val="EndnoteReference"/>
        </w:rPr>
        <w:endnoteRef/>
      </w:r>
      <w:r w:rsidRPr="00BC6D9B">
        <w:t xml:space="preserve"> Decent Work and Health Network</w:t>
      </w:r>
      <w:r w:rsidR="00C26F2A">
        <w:t>.</w:t>
      </w:r>
      <w:r w:rsidRPr="00BC6D9B">
        <w:t xml:space="preserve"> (2020). </w:t>
      </w:r>
      <w:r w:rsidRPr="00BC6D9B">
        <w:rPr>
          <w:i/>
        </w:rPr>
        <w:t>Before It’s Too Late</w:t>
      </w:r>
      <w:r w:rsidRPr="00BC6D9B">
        <w:t>:</w:t>
      </w:r>
      <w:r w:rsidRPr="00BC6D9B">
        <w:rPr>
          <w:i/>
          <w:iCs/>
        </w:rPr>
        <w:t xml:space="preserve"> How to close the paid sick days gap during COVID-19 and beyond.</w:t>
      </w:r>
      <w:r w:rsidR="00C26F2A">
        <w:rPr>
          <w:i/>
          <w:iCs/>
        </w:rPr>
        <w:t xml:space="preserve"> </w:t>
      </w:r>
      <w:hyperlink r:id="rId84" w:history="1">
        <w:r w:rsidR="00C26F2A" w:rsidRPr="00F84015">
          <w:rPr>
            <w:rStyle w:val="Hyperlink"/>
          </w:rPr>
          <w:t>https://d3n8a8pro7vhmx.cloudfront.net/dwhn/pages/135/attachments/original/1604082294/DWHN_BeforeItsTooLate.pdf?1604082294</w:t>
        </w:r>
      </w:hyperlink>
      <w:r w:rsidRPr="00BC6D9B">
        <w:t>, p. 5.</w:t>
      </w:r>
    </w:p>
  </w:endnote>
  <w:endnote w:id="90">
    <w:p w14:paraId="64E894A7" w14:textId="65F41DAA" w:rsidR="00AF2008" w:rsidRPr="00BC6D9B" w:rsidRDefault="00AF2008" w:rsidP="00AF2008">
      <w:pPr>
        <w:pStyle w:val="EndnoteText"/>
      </w:pPr>
      <w:r w:rsidRPr="00BC6D9B">
        <w:rPr>
          <w:rStyle w:val="EndnoteReference"/>
        </w:rPr>
        <w:endnoteRef/>
      </w:r>
      <w:r w:rsidRPr="00BC6D9B">
        <w:t xml:space="preserve"> Decent Work and Health Network</w:t>
      </w:r>
      <w:r w:rsidR="00C26F2A">
        <w:t>.</w:t>
      </w:r>
      <w:r w:rsidRPr="00BC6D9B">
        <w:t xml:space="preserve"> (2020). </w:t>
      </w:r>
      <w:r w:rsidRPr="00BC6D9B">
        <w:rPr>
          <w:i/>
        </w:rPr>
        <w:t>Before It’s Too Late</w:t>
      </w:r>
      <w:r w:rsidRPr="00BC6D9B">
        <w:t>:</w:t>
      </w:r>
      <w:r w:rsidRPr="00BC6D9B">
        <w:rPr>
          <w:i/>
          <w:iCs/>
        </w:rPr>
        <w:t xml:space="preserve"> How to close the paid sick days gap during COVID-19 and beyond. </w:t>
      </w:r>
      <w:hyperlink r:id="rId85" w:history="1">
        <w:r w:rsidRPr="00BC6D9B">
          <w:rPr>
            <w:rStyle w:val="Hyperlink"/>
          </w:rPr>
          <w:t>https://d3n8a8pro7vhmx.cloudfront.net/dwhn/pages/135/attachments/original/1604082294/DWHN_BeforeItsTooLate.pdf?1604082294</w:t>
        </w:r>
      </w:hyperlink>
      <w:r w:rsidRPr="00BC6D9B">
        <w:t>, pp. 4-6.</w:t>
      </w:r>
    </w:p>
  </w:endnote>
  <w:endnote w:id="91">
    <w:p w14:paraId="499BACC0" w14:textId="77777777" w:rsidR="00AF2008" w:rsidRPr="00BC6D9B" w:rsidRDefault="00AF2008" w:rsidP="00AF2008">
      <w:pPr>
        <w:pStyle w:val="EndnoteText"/>
      </w:pPr>
      <w:r w:rsidRPr="00BC6D9B">
        <w:rPr>
          <w:rStyle w:val="EndnoteReference"/>
        </w:rPr>
        <w:endnoteRef/>
      </w:r>
      <w:r w:rsidRPr="00BC6D9B">
        <w:t xml:space="preserve"> </w:t>
      </w:r>
      <w:r w:rsidRPr="00BC6D9B">
        <w:rPr>
          <w:color w:val="1A1718"/>
          <w:lang w:eastAsia="en-CA"/>
        </w:rPr>
        <w:t xml:space="preserve">McKenzie, Kwame Dr., </w:t>
      </w:r>
      <w:r w:rsidRPr="00BC6D9B">
        <w:rPr>
          <w:color w:val="000000"/>
          <w:lang w:eastAsia="en-CA"/>
        </w:rPr>
        <w:t xml:space="preserve">Sané Dube, Stephen Petersen, and Equity, Inclusion, Diversity and Anti-Racism Team Ontario Health. </w:t>
      </w:r>
      <w:r w:rsidRPr="00BC6D9B">
        <w:rPr>
          <w:i/>
          <w:iCs/>
          <w:color w:val="000000"/>
          <w:lang w:eastAsia="en-CA"/>
        </w:rPr>
        <w:t>Tracking COVID-19 Through Race-Based Data.</w:t>
      </w:r>
      <w:r w:rsidRPr="00BC6D9B">
        <w:rPr>
          <w:color w:val="000000"/>
          <w:lang w:eastAsia="en-CA"/>
        </w:rPr>
        <w:t xml:space="preserve"> Wellesley Institute and Ontario Health. </w:t>
      </w:r>
      <w:hyperlink r:id="rId86" w:history="1">
        <w:r w:rsidRPr="00BC6D9B">
          <w:rPr>
            <w:rStyle w:val="Hyperlink"/>
            <w:lang w:eastAsia="en-CA"/>
          </w:rPr>
          <w:t>https://www.wellesleyinstitute.com/wp-content/uploads/2021/08/Tracking-COVID-19-Through-Race-Based-Data_eng.pdf</w:t>
        </w:r>
      </w:hyperlink>
      <w:r w:rsidRPr="00BC6D9B">
        <w:rPr>
          <w:color w:val="000000"/>
          <w:lang w:eastAsia="en-CA"/>
        </w:rPr>
        <w:t>, 9.</w:t>
      </w:r>
    </w:p>
  </w:endnote>
  <w:endnote w:id="92">
    <w:p w14:paraId="743F12AB" w14:textId="77777777" w:rsidR="00AF2008" w:rsidRPr="00AA4A08" w:rsidRDefault="00AF2008" w:rsidP="00AF2008">
      <w:pPr>
        <w:pStyle w:val="EndnoteText"/>
      </w:pPr>
      <w:r w:rsidRPr="00BC6D9B">
        <w:rPr>
          <w:rStyle w:val="EndnoteReference"/>
        </w:rPr>
        <w:endnoteRef/>
      </w:r>
      <w:r w:rsidRPr="00BC6D9B">
        <w:t xml:space="preserve"> Statistics Canada. (2023). </w:t>
      </w:r>
      <w:r w:rsidRPr="00BC6D9B">
        <w:rPr>
          <w:i/>
          <w:iCs/>
        </w:rPr>
        <w:t xml:space="preserve">Consumer price index portal. </w:t>
      </w:r>
      <w:r w:rsidRPr="00BC6D9B">
        <w:t xml:space="preserve">Retrieved from Statistics Canada website. </w:t>
      </w:r>
      <w:hyperlink r:id="rId87" w:history="1">
        <w:r w:rsidRPr="00BC6D9B">
          <w:rPr>
            <w:rStyle w:val="Hyperlink"/>
          </w:rPr>
          <w:t>https://www.statcan.gc.ca/en/subjects-start/prices_and_price_indexes/consumer_price_indexes</w:t>
        </w:r>
      </w:hyperlink>
      <w:r w:rsidRPr="00BC6D9B">
        <w:t>.</w:t>
      </w:r>
    </w:p>
  </w:endnote>
  <w:endnote w:id="93">
    <w:p w14:paraId="32BC30EB" w14:textId="6122FCE4" w:rsidR="00AF2008" w:rsidRPr="00BC6D9B" w:rsidRDefault="00AF2008" w:rsidP="00AF2008">
      <w:pPr>
        <w:pStyle w:val="EndnoteText"/>
      </w:pPr>
      <w:r w:rsidRPr="00BC6D9B">
        <w:rPr>
          <w:rStyle w:val="EndnoteReference"/>
        </w:rPr>
        <w:endnoteRef/>
      </w:r>
      <w:r w:rsidRPr="00BC6D9B">
        <w:t xml:space="preserve"> </w:t>
      </w:r>
      <w:r w:rsidRPr="00BC6D9B">
        <w:rPr>
          <w:lang w:eastAsia="en-CA"/>
        </w:rPr>
        <w:t>King, Amanda and Ashley Quan</w:t>
      </w:r>
      <w:r w:rsidR="00C26F2A">
        <w:rPr>
          <w:lang w:eastAsia="en-CA"/>
        </w:rPr>
        <w:t>.</w:t>
      </w:r>
      <w:r w:rsidRPr="00BC6D9B">
        <w:rPr>
          <w:lang w:eastAsia="en-CA"/>
        </w:rPr>
        <w:t xml:space="preserve"> (2021). </w:t>
      </w:r>
      <w:r w:rsidRPr="00BC6D9B">
        <w:rPr>
          <w:i/>
          <w:iCs/>
          <w:lang w:eastAsia="en-CA"/>
        </w:rPr>
        <w:t>Hunger Report 2021: How the Pandemic Accelerated the Income and Affordability Crisis in Ontario.</w:t>
      </w:r>
      <w:r w:rsidRPr="00BC6D9B">
        <w:rPr>
          <w:lang w:eastAsia="en-CA"/>
        </w:rPr>
        <w:t xml:space="preserve"> </w:t>
      </w:r>
      <w:hyperlink r:id="rId88" w:history="1">
        <w:r w:rsidRPr="00BC6D9B">
          <w:rPr>
            <w:rStyle w:val="Hyperlink"/>
            <w:lang w:eastAsia="en-CA"/>
          </w:rPr>
          <w:t>https://feedontario.ca/wp-content/uploads/2021/11/Hunger-Report-2021-Digital.pdf</w:t>
        </w:r>
      </w:hyperlink>
      <w:r w:rsidRPr="00BC6D9B">
        <w:rPr>
          <w:lang w:eastAsia="en-CA"/>
        </w:rPr>
        <w:t xml:space="preserve">, </w:t>
      </w:r>
      <w:r>
        <w:rPr>
          <w:lang w:eastAsia="en-CA"/>
        </w:rPr>
        <w:t>p.</w:t>
      </w:r>
      <w:r w:rsidRPr="00BC6D9B">
        <w:rPr>
          <w:lang w:eastAsia="en-CA"/>
        </w:rPr>
        <w:t>17</w:t>
      </w:r>
      <w:r w:rsidRPr="00BC6D9B">
        <w:t>.</w:t>
      </w:r>
    </w:p>
  </w:endnote>
  <w:endnote w:id="94">
    <w:p w14:paraId="78AD7884" w14:textId="164C9384" w:rsidR="00AF2008" w:rsidRPr="00BC3BD9" w:rsidRDefault="00AF2008" w:rsidP="00AF2008">
      <w:pPr>
        <w:pStyle w:val="EndnoteText"/>
        <w:rPr>
          <w:u w:val="single"/>
        </w:rPr>
      </w:pPr>
      <w:r w:rsidRPr="00BC6D9B">
        <w:rPr>
          <w:rStyle w:val="EndnoteReference"/>
        </w:rPr>
        <w:endnoteRef/>
      </w:r>
      <w:r w:rsidRPr="00BC6D9B">
        <w:t xml:space="preserve"> Oxfam</w:t>
      </w:r>
      <w:r w:rsidR="00C26F2A">
        <w:t>.</w:t>
      </w:r>
      <w:r w:rsidRPr="00BC6D9B">
        <w:t xml:space="preserve"> (2023). “</w:t>
      </w:r>
      <w:r w:rsidRPr="00BC6D9B">
        <w:rPr>
          <w:i/>
        </w:rPr>
        <w:t>Richest 1% Bag Nearly Twice As Much Wealth As The Rest Of The World Put Together Over The Past Two Years</w:t>
      </w:r>
      <w:r w:rsidRPr="00BC6D9B">
        <w:t>.</w:t>
      </w:r>
      <w:r>
        <w:t>”</w:t>
      </w:r>
      <w:r w:rsidRPr="00BC6D9B">
        <w:t xml:space="preserve"> Oxfam Canada.</w:t>
      </w:r>
      <w:r>
        <w:t xml:space="preserve"> </w:t>
      </w:r>
      <w:hyperlink r:id="rId89" w:history="1">
        <w:r w:rsidRPr="00047B44">
          <w:rPr>
            <w:rStyle w:val="Hyperlink"/>
          </w:rPr>
          <w:t xml:space="preserve"> https://www.oxfam.ca/news/richest-1-bag-nearly-twice-as-much-wealth-as-the-rest-of-the-world-put-together-over-the-past-two-years/.  </w:t>
        </w:r>
      </w:hyperlink>
    </w:p>
  </w:endnote>
  <w:endnote w:id="95">
    <w:p w14:paraId="31F5554B" w14:textId="12C3FCE2" w:rsidR="00AF2008" w:rsidRPr="00BC6D9B" w:rsidRDefault="00AF2008" w:rsidP="00AF2008">
      <w:pPr>
        <w:pStyle w:val="EndnoteText"/>
      </w:pPr>
      <w:r w:rsidRPr="00BC6D9B">
        <w:rPr>
          <w:rStyle w:val="EndnoteReference"/>
        </w:rPr>
        <w:endnoteRef/>
      </w:r>
      <w:r w:rsidRPr="00BC6D9B">
        <w:t xml:space="preserve"> Justice for Workers</w:t>
      </w:r>
      <w:r w:rsidR="00C26F2A">
        <w:t>.</w:t>
      </w:r>
      <w:r w:rsidRPr="00BC6D9B">
        <w:t xml:space="preserve"> (2021). Minimum wage fact sheet. </w:t>
      </w:r>
      <w:hyperlink r:id="rId90" w:history="1">
        <w:r w:rsidRPr="00BC6D9B">
          <w:rPr>
            <w:rStyle w:val="Hyperlink"/>
          </w:rPr>
          <w:t>https://www.justice4workers.org/minimum_wage_fact_sheet</w:t>
        </w:r>
      </w:hyperlink>
      <w:r w:rsidRPr="00BC6D9B">
        <w:t>.</w:t>
      </w:r>
    </w:p>
  </w:endnote>
  <w:endnote w:id="96">
    <w:p w14:paraId="2BD5E31B" w14:textId="77777777" w:rsidR="00AF2008" w:rsidRPr="00BC6D9B" w:rsidRDefault="00AF2008" w:rsidP="00AF2008">
      <w:pPr>
        <w:pStyle w:val="EndnoteText"/>
      </w:pPr>
      <w:r w:rsidRPr="00BC6D9B">
        <w:rPr>
          <w:rStyle w:val="EndnoteReference"/>
        </w:rPr>
        <w:endnoteRef/>
      </w:r>
      <w:r w:rsidRPr="00BC6D9B">
        <w:t xml:space="preserve"> OECD (2022), Household spending (indicator). </w:t>
      </w:r>
      <w:hyperlink r:id="rId91" w:history="1">
        <w:r w:rsidRPr="00BC6D9B">
          <w:rPr>
            <w:rStyle w:val="Hyperlink"/>
          </w:rPr>
          <w:t>https://data.oecd.org/hha/household-spending.htm</w:t>
        </w:r>
      </w:hyperlink>
      <w:r w:rsidRPr="00BC6D9B">
        <w:t>.</w:t>
      </w:r>
    </w:p>
  </w:endnote>
  <w:endnote w:id="97">
    <w:p w14:paraId="477659E0" w14:textId="03C919FC" w:rsidR="00AF2008" w:rsidRPr="00BC6D9B" w:rsidRDefault="00AF2008" w:rsidP="00AF2008">
      <w:pPr>
        <w:pStyle w:val="EndnoteText"/>
      </w:pPr>
      <w:r w:rsidRPr="00BC6D9B">
        <w:rPr>
          <w:rStyle w:val="EndnoteReference"/>
        </w:rPr>
        <w:endnoteRef/>
      </w:r>
      <w:r w:rsidRPr="00BC6D9B">
        <w:t>Stephen, Gaibrie and Jesse McLaren</w:t>
      </w:r>
      <w:r w:rsidR="00C26F2A">
        <w:t>.</w:t>
      </w:r>
      <w:r w:rsidRPr="00BC6D9B">
        <w:t xml:space="preserve"> (2021, August 31). </w:t>
      </w:r>
      <w:r w:rsidRPr="00D81D45">
        <w:rPr>
          <w:i/>
          <w:iCs/>
        </w:rPr>
        <w:t>Gig workers in Ontario lack basic labour rights. The province needs to provide them access to protections.</w:t>
      </w:r>
      <w:r w:rsidRPr="00BC6D9B">
        <w:t xml:space="preserve"> </w:t>
      </w:r>
      <w:r w:rsidRPr="00D81D45">
        <w:rPr>
          <w:iCs/>
        </w:rPr>
        <w:t>The Toronto Star.</w:t>
      </w:r>
      <w:r w:rsidRPr="00BC6D9B">
        <w:t xml:space="preserve"> </w:t>
      </w:r>
      <w:hyperlink r:id="rId92" w:history="1">
        <w:r w:rsidRPr="00BC6D9B">
          <w:rPr>
            <w:rStyle w:val="Hyperlink"/>
          </w:rPr>
          <w:t>https://www.thestar.com/opinion/contributors/2021/08/31/they-deliver-food-drive-us-around-the-city-but-lack-basic-labour-rights-ontario-needs-to-give-gig-workers-access-to-protections.html</w:t>
        </w:r>
      </w:hyperlink>
      <w:r w:rsidRPr="00BC6D9B">
        <w:t>.</w:t>
      </w:r>
    </w:p>
  </w:endnote>
  <w:endnote w:id="98">
    <w:p w14:paraId="2262C2C4" w14:textId="54F68EA5" w:rsidR="00AF2008" w:rsidRPr="00BC6D9B" w:rsidRDefault="00AF2008" w:rsidP="00AF2008">
      <w:pPr>
        <w:pStyle w:val="EndnoteText"/>
      </w:pPr>
      <w:r w:rsidRPr="00BC6D9B">
        <w:rPr>
          <w:rStyle w:val="EndnoteReference"/>
        </w:rPr>
        <w:endnoteRef/>
      </w:r>
      <w:r w:rsidRPr="00BC6D9B">
        <w:t xml:space="preserve"> Mojtehedzadeh, Sara</w:t>
      </w:r>
      <w:r w:rsidR="00C26F2A">
        <w:t>.</w:t>
      </w:r>
      <w:r w:rsidRPr="00BC6D9B">
        <w:t xml:space="preserve"> (2021, April 27). </w:t>
      </w:r>
      <w:r w:rsidRPr="00BC6D9B">
        <w:rPr>
          <w:i/>
        </w:rPr>
        <w:t>Food-delivery app Foodora announces exit from Canada two months after historic worker win</w:t>
      </w:r>
      <w:r w:rsidRPr="00BC6D9B">
        <w:t xml:space="preserve">. The Toronto Star. </w:t>
      </w:r>
      <w:hyperlink r:id="rId93" w:history="1">
        <w:r w:rsidRPr="00BC6D9B">
          <w:rPr>
            <w:rStyle w:val="Hyperlink"/>
          </w:rPr>
          <w:t>https://www.thestar.com/business/2020/04/27/app-based-food-delivery-giant-foodora-announces-exit-from-canada.html</w:t>
        </w:r>
      </w:hyperlink>
    </w:p>
  </w:endnote>
  <w:endnote w:id="99">
    <w:p w14:paraId="41D68B41" w14:textId="77777777" w:rsidR="00AF2008" w:rsidRDefault="00AF2008" w:rsidP="00AF2008">
      <w:pPr>
        <w:pStyle w:val="EndnoteText"/>
      </w:pPr>
      <w:r>
        <w:rPr>
          <w:rStyle w:val="EndnoteReference"/>
        </w:rPr>
        <w:endnoteRef/>
      </w:r>
      <w:r>
        <w:t xml:space="preserve"> A carve-out is an exemption from the ESA or the creation of a lesser minimum standard. </w:t>
      </w:r>
    </w:p>
  </w:endnote>
  <w:endnote w:id="100">
    <w:p w14:paraId="5EA92357" w14:textId="11CB2F54" w:rsidR="00AF2008" w:rsidRPr="00BC6D9B" w:rsidRDefault="00AF2008" w:rsidP="00AF2008">
      <w:pPr>
        <w:pStyle w:val="EndnoteText"/>
      </w:pPr>
      <w:r w:rsidRPr="00BC6D9B">
        <w:rPr>
          <w:rStyle w:val="EndnoteReference"/>
        </w:rPr>
        <w:endnoteRef/>
      </w:r>
      <w:r w:rsidRPr="00BC6D9B">
        <w:t xml:space="preserve"> Russon, Mary-Ann</w:t>
      </w:r>
      <w:r w:rsidR="00C26F2A">
        <w:t>.</w:t>
      </w:r>
      <w:r w:rsidRPr="00BC6D9B">
        <w:t xml:space="preserve"> (2021, February 19). </w:t>
      </w:r>
      <w:r w:rsidRPr="00D81D45">
        <w:rPr>
          <w:i/>
          <w:iCs/>
        </w:rPr>
        <w:t>Uber drivers are workers not self-employed, Supreme Court rules</w:t>
      </w:r>
      <w:r w:rsidRPr="00BC6D9B">
        <w:t xml:space="preserve">. </w:t>
      </w:r>
      <w:r w:rsidRPr="00D81D45">
        <w:rPr>
          <w:iCs/>
        </w:rPr>
        <w:t>BBC News.</w:t>
      </w:r>
      <w:r w:rsidRPr="00BC6D9B">
        <w:t xml:space="preserve"> </w:t>
      </w:r>
      <w:hyperlink r:id="rId94" w:history="1">
        <w:r w:rsidRPr="00BC6D9B">
          <w:rPr>
            <w:rStyle w:val="Hyperlink"/>
          </w:rPr>
          <w:t>https://www.bbc.com/news/business-56123668</w:t>
        </w:r>
      </w:hyperlink>
      <w:r w:rsidRPr="00BC6D9B">
        <w:t>.</w:t>
      </w:r>
    </w:p>
  </w:endnote>
  <w:endnote w:id="101">
    <w:p w14:paraId="19BD9B92" w14:textId="3AE365C2" w:rsidR="00AF2008" w:rsidRPr="00193523" w:rsidRDefault="00AF2008" w:rsidP="00AF2008">
      <w:pPr>
        <w:rPr>
          <w:lang w:val="fr-CA"/>
        </w:rPr>
      </w:pPr>
      <w:r w:rsidRPr="00961814">
        <w:rPr>
          <w:rStyle w:val="EndnoteReference"/>
          <w:sz w:val="20"/>
          <w:szCs w:val="20"/>
        </w:rPr>
        <w:endnoteRef/>
      </w:r>
      <w:r w:rsidRPr="00961814">
        <w:rPr>
          <w:sz w:val="20"/>
          <w:szCs w:val="20"/>
        </w:rPr>
        <w:t xml:space="preserve"> Carreño</w:t>
      </w:r>
      <w:r w:rsidRPr="00BC6D9B">
        <w:rPr>
          <w:sz w:val="20"/>
          <w:szCs w:val="20"/>
        </w:rPr>
        <w:t>, Belén and Joan Faus</w:t>
      </w:r>
      <w:r w:rsidR="00C26F2A">
        <w:rPr>
          <w:sz w:val="20"/>
          <w:szCs w:val="20"/>
        </w:rPr>
        <w:t>.</w:t>
      </w:r>
      <w:r w:rsidRPr="00BC6D9B">
        <w:rPr>
          <w:sz w:val="20"/>
          <w:szCs w:val="20"/>
        </w:rPr>
        <w:t xml:space="preserve"> (2021, May 11). </w:t>
      </w:r>
      <w:r w:rsidRPr="00D81D45">
        <w:rPr>
          <w:i/>
          <w:iCs/>
          <w:sz w:val="20"/>
          <w:szCs w:val="20"/>
        </w:rPr>
        <w:t>Gig-economy riders in Spain must become staff within 90 days under new rule.</w:t>
      </w:r>
      <w:r w:rsidRPr="00BC6D9B">
        <w:rPr>
          <w:i/>
          <w:sz w:val="20"/>
          <w:szCs w:val="20"/>
        </w:rPr>
        <w:t xml:space="preserve"> </w:t>
      </w:r>
      <w:r w:rsidRPr="00193523">
        <w:rPr>
          <w:iCs/>
          <w:sz w:val="20"/>
          <w:szCs w:val="20"/>
          <w:lang w:val="fr-CA"/>
        </w:rPr>
        <w:t>Reuters</w:t>
      </w:r>
      <w:r w:rsidRPr="00193523">
        <w:rPr>
          <w:sz w:val="20"/>
          <w:szCs w:val="20"/>
          <w:lang w:val="fr-CA"/>
        </w:rPr>
        <w:t xml:space="preserve">. </w:t>
      </w:r>
      <w:hyperlink r:id="rId95" w:history="1">
        <w:r w:rsidRPr="00193523">
          <w:rPr>
            <w:rStyle w:val="Hyperlink"/>
            <w:sz w:val="20"/>
            <w:szCs w:val="20"/>
            <w:lang w:val="fr-CA"/>
          </w:rPr>
          <w:t>https://www.reuters.com/business/sustainable-business/gig-economy-riders-spain-must-become-staff-within-90-days-under-new-rule-2021-05-11/</w:t>
        </w:r>
      </w:hyperlink>
      <w:r w:rsidRPr="00193523">
        <w:rPr>
          <w:sz w:val="20"/>
          <w:szCs w:val="20"/>
          <w:lang w:val="fr-CA"/>
        </w:rPr>
        <w:t>.</w:t>
      </w:r>
    </w:p>
  </w:endnote>
  <w:endnote w:id="102">
    <w:p w14:paraId="1A05F726" w14:textId="23842835" w:rsidR="00AF2008" w:rsidRPr="00BC6D9B" w:rsidRDefault="00AF2008" w:rsidP="00AF2008">
      <w:pPr>
        <w:pStyle w:val="EndnoteText"/>
      </w:pPr>
      <w:r w:rsidRPr="00BC6D9B">
        <w:rPr>
          <w:rStyle w:val="EndnoteReference"/>
        </w:rPr>
        <w:endnoteRef/>
      </w:r>
      <w:r w:rsidRPr="00BC6D9B">
        <w:t xml:space="preserve"> Rhinehart, Lynn, Celine McNicholas, Margaret Poydock, and Ihna Mangundayao</w:t>
      </w:r>
      <w:r w:rsidR="00C26F2A">
        <w:t xml:space="preserve">. </w:t>
      </w:r>
      <w:r w:rsidRPr="00BC6D9B">
        <w:t xml:space="preserve">(2021). Misclassification, the ABC test, and employee status. </w:t>
      </w:r>
      <w:r w:rsidRPr="00BC6D9B">
        <w:rPr>
          <w:i/>
        </w:rPr>
        <w:t>Economic Policy Institute</w:t>
      </w:r>
      <w:r w:rsidRPr="00BC6D9B">
        <w:t xml:space="preserve">. </w:t>
      </w:r>
      <w:hyperlink r:id="rId96" w:history="1">
        <w:r w:rsidRPr="00BC6D9B">
          <w:rPr>
            <w:rStyle w:val="Hyperlink"/>
          </w:rPr>
          <w:t>https://www.epi.org/publication/misclassification-the-abc-test-and-employee-status-the-california-experience-and-its-relevance-to-current-policy-debates/</w:t>
        </w:r>
      </w:hyperlink>
      <w:r w:rsidRPr="00BC6D9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281719"/>
      <w:docPartObj>
        <w:docPartGallery w:val="Page Numbers (Bottom of Page)"/>
        <w:docPartUnique/>
      </w:docPartObj>
    </w:sdtPr>
    <w:sdtEndPr>
      <w:rPr>
        <w:noProof/>
      </w:rPr>
    </w:sdtEndPr>
    <w:sdtContent>
      <w:p w14:paraId="05DE1651" w14:textId="1D34E380" w:rsidR="007D1E03" w:rsidRDefault="007D1E03">
        <w:pPr>
          <w:pStyle w:val="Footer"/>
          <w:jc w:val="right"/>
        </w:pPr>
        <w:r>
          <w:fldChar w:fldCharType="begin"/>
        </w:r>
        <w:r>
          <w:instrText xml:space="preserve"> PAGE   \* MERGEFORMAT </w:instrText>
        </w:r>
        <w:r>
          <w:fldChar w:fldCharType="separate"/>
        </w:r>
        <w:r w:rsidR="002432CD">
          <w:rPr>
            <w:noProof/>
          </w:rPr>
          <w:t>1</w:t>
        </w:r>
        <w:r>
          <w:rPr>
            <w:noProof/>
          </w:rPr>
          <w:fldChar w:fldCharType="end"/>
        </w:r>
      </w:p>
    </w:sdtContent>
  </w:sdt>
  <w:p w14:paraId="08092DAE" w14:textId="77777777" w:rsidR="007D1E03" w:rsidRDefault="007D1E03" w:rsidP="00F814AB">
    <w:pPr>
      <w:pStyle w:val="Footer"/>
      <w:tabs>
        <w:tab w:val="clear" w:pos="8640"/>
        <w:tab w:val="right" w:pos="9540"/>
      </w:tabs>
      <w:ind w:right="-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F3BDF" w14:textId="77777777" w:rsidR="004D1B1D" w:rsidRDefault="004D1B1D">
      <w:r>
        <w:separator/>
      </w:r>
    </w:p>
  </w:footnote>
  <w:footnote w:type="continuationSeparator" w:id="0">
    <w:p w14:paraId="16C83D67" w14:textId="77777777" w:rsidR="004D1B1D" w:rsidRDefault="004D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8BA"/>
    <w:multiLevelType w:val="hybridMultilevel"/>
    <w:tmpl w:val="5B648F46"/>
    <w:lvl w:ilvl="0" w:tplc="B5F02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43A1F"/>
    <w:multiLevelType w:val="hybridMultilevel"/>
    <w:tmpl w:val="6924FAEE"/>
    <w:lvl w:ilvl="0" w:tplc="17580A02">
      <w:start w:val="1"/>
      <w:numFmt w:val="lowerLetter"/>
      <w:lvlText w:val="%1)"/>
      <w:lvlJc w:val="left"/>
      <w:pPr>
        <w:ind w:left="1080" w:hanging="360"/>
      </w:pPr>
      <w:rPr>
        <w:rFonts w:ascii="Times New Roman" w:eastAsia="Times New Roman" w:hAnsi="Times New Roman" w:cs="Times New Roman"/>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E70B6"/>
    <w:multiLevelType w:val="hybridMultilevel"/>
    <w:tmpl w:val="418ABE40"/>
    <w:lvl w:ilvl="0" w:tplc="A2BA386E">
      <w:start w:val="1"/>
      <w:numFmt w:val="decimal"/>
      <w:pStyle w:val="Style1"/>
      <w:lvlText w:val="%1."/>
      <w:lvlJc w:val="left"/>
      <w:pPr>
        <w:ind w:left="720" w:hanging="360"/>
      </w:pPr>
      <w:rPr>
        <w:rFonts w:hint="default"/>
      </w:rPr>
    </w:lvl>
    <w:lvl w:ilvl="1" w:tplc="ED4C0BB8">
      <w:start w:val="1"/>
      <w:numFmt w:val="bullet"/>
      <w:lvlText w:val=""/>
      <w:lvlJc w:val="left"/>
      <w:pPr>
        <w:ind w:left="1440" w:hanging="360"/>
      </w:pPr>
      <w:rPr>
        <w:rFonts w:ascii="Symbol" w:hAnsi="Symbol" w:hint="default"/>
        <w:sz w:val="20"/>
      </w:rPr>
    </w:lvl>
    <w:lvl w:ilvl="2" w:tplc="9D7AC62E">
      <w:numFmt w:val="bullet"/>
      <w:lvlText w:val="•"/>
      <w:lvlJc w:val="left"/>
      <w:pPr>
        <w:ind w:left="2520" w:hanging="720"/>
      </w:pPr>
      <w:rPr>
        <w:rFonts w:ascii="Arial" w:eastAsia="Times New Roman"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D4662F"/>
    <w:multiLevelType w:val="hybridMultilevel"/>
    <w:tmpl w:val="BE64B268"/>
    <w:lvl w:ilvl="0" w:tplc="456E1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F604C"/>
    <w:multiLevelType w:val="hybridMultilevel"/>
    <w:tmpl w:val="354AD192"/>
    <w:lvl w:ilvl="0" w:tplc="6DF23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91BE8"/>
    <w:multiLevelType w:val="hybridMultilevel"/>
    <w:tmpl w:val="78FE2AEC"/>
    <w:lvl w:ilvl="0" w:tplc="01F8F258">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4B44A5"/>
    <w:multiLevelType w:val="hybridMultilevel"/>
    <w:tmpl w:val="3F4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93203"/>
    <w:multiLevelType w:val="hybridMultilevel"/>
    <w:tmpl w:val="7986836C"/>
    <w:lvl w:ilvl="0" w:tplc="3314E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43E34"/>
    <w:multiLevelType w:val="hybridMultilevel"/>
    <w:tmpl w:val="366C555A"/>
    <w:lvl w:ilvl="0" w:tplc="BB7E8AE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75DFB"/>
    <w:multiLevelType w:val="hybridMultilevel"/>
    <w:tmpl w:val="557E1AA0"/>
    <w:lvl w:ilvl="0" w:tplc="4B58FB82">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91171B"/>
    <w:multiLevelType w:val="hybridMultilevel"/>
    <w:tmpl w:val="A7FABF6C"/>
    <w:lvl w:ilvl="0" w:tplc="497C9AAE">
      <w:start w:val="1"/>
      <w:numFmt w:val="lowerLetter"/>
      <w:lvlText w:val="%1)"/>
      <w:lvlJc w:val="left"/>
      <w:pPr>
        <w:ind w:left="1080" w:hanging="360"/>
      </w:pPr>
      <w:rPr>
        <w:rFonts w:ascii="Times New Roman" w:eastAsia="Times New Roman" w:hAnsi="Times New Roman" w:cs="Times New Roman"/>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410BD0"/>
    <w:multiLevelType w:val="hybridMultilevel"/>
    <w:tmpl w:val="C32C161E"/>
    <w:lvl w:ilvl="0" w:tplc="26481B60">
      <w:start w:val="1"/>
      <w:numFmt w:val="decimal"/>
      <w:pStyle w:val="Leandra"/>
      <w:lvlText w:val="%1."/>
      <w:lvlJc w:val="left"/>
      <w:pPr>
        <w:tabs>
          <w:tab w:val="num" w:pos="360"/>
        </w:tabs>
        <w:ind w:left="0" w:hanging="216"/>
      </w:pPr>
      <w:rPr>
        <w:rFonts w:ascii="Arial" w:hAnsi="Arial" w:hint="default"/>
        <w:sz w:val="24"/>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55F555EA"/>
    <w:multiLevelType w:val="hybridMultilevel"/>
    <w:tmpl w:val="59160074"/>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13" w15:restartNumberingAfterBreak="0">
    <w:nsid w:val="5CCB0FF5"/>
    <w:multiLevelType w:val="hybridMultilevel"/>
    <w:tmpl w:val="5D341686"/>
    <w:lvl w:ilvl="0" w:tplc="C5F4C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5B1F14"/>
    <w:multiLevelType w:val="hybridMultilevel"/>
    <w:tmpl w:val="DA2A3D8A"/>
    <w:lvl w:ilvl="0" w:tplc="23D4D6CC">
      <w:start w:val="1"/>
      <w:numFmt w:val="decimal"/>
      <w:pStyle w:val="Heading1"/>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A091B46"/>
    <w:multiLevelType w:val="hybridMultilevel"/>
    <w:tmpl w:val="CBAACB12"/>
    <w:lvl w:ilvl="0" w:tplc="1F14B226">
      <w:start w:val="1"/>
      <w:numFmt w:val="bullet"/>
      <w:lvlText w:val=""/>
      <w:lvlJc w:val="left"/>
      <w:pPr>
        <w:ind w:left="720" w:hanging="360"/>
      </w:pPr>
      <w:rPr>
        <w:rFonts w:ascii="Symbol" w:hAnsi="Symbol" w:hint="default"/>
        <w:b/>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F63B70"/>
    <w:multiLevelType w:val="multilevel"/>
    <w:tmpl w:val="855A4FFE"/>
    <w:styleLink w:val="Test"/>
    <w:lvl w:ilvl="0">
      <w:start w:val="1"/>
      <w:numFmt w:val="decimal"/>
      <w:isLgl/>
      <w:lvlText w:val="%1)"/>
      <w:lvlJc w:val="left"/>
      <w:pPr>
        <w:tabs>
          <w:tab w:val="num" w:pos="360"/>
        </w:tabs>
        <w:ind w:left="360" w:hanging="432"/>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1"/>
  </w:num>
  <w:num w:numId="3">
    <w:abstractNumId w:val="2"/>
  </w:num>
  <w:num w:numId="4">
    <w:abstractNumId w:val="14"/>
  </w:num>
  <w:num w:numId="5">
    <w:abstractNumId w:val="15"/>
  </w:num>
  <w:num w:numId="6">
    <w:abstractNumId w:val="1"/>
  </w:num>
  <w:num w:numId="7">
    <w:abstractNumId w:val="10"/>
  </w:num>
  <w:num w:numId="8">
    <w:abstractNumId w:val="12"/>
  </w:num>
  <w:num w:numId="9">
    <w:abstractNumId w:val="7"/>
  </w:num>
  <w:num w:numId="10">
    <w:abstractNumId w:val="14"/>
  </w:num>
  <w:num w:numId="11">
    <w:abstractNumId w:val="4"/>
  </w:num>
  <w:num w:numId="12">
    <w:abstractNumId w:val="13"/>
  </w:num>
  <w:num w:numId="13">
    <w:abstractNumId w:val="3"/>
  </w:num>
  <w:num w:numId="14">
    <w:abstractNumId w:val="14"/>
    <w:lvlOverride w:ilvl="0">
      <w:startOverride w:val="4"/>
    </w:lvlOverride>
  </w:num>
  <w:num w:numId="15">
    <w:abstractNumId w:val="8"/>
  </w:num>
  <w:num w:numId="16">
    <w:abstractNumId w:val="6"/>
  </w:num>
  <w:num w:numId="17">
    <w:abstractNumId w:val="9"/>
  </w:num>
  <w:num w:numId="18">
    <w:abstractNumId w:val="0"/>
  </w:num>
  <w:num w:numId="19">
    <w:abstractNumId w:val="5"/>
  </w:num>
  <w:num w:numId="20">
    <w:abstractNumId w:val="1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28"/>
    <w:rsid w:val="0000082C"/>
    <w:rsid w:val="00000D3D"/>
    <w:rsid w:val="00001807"/>
    <w:rsid w:val="000027E5"/>
    <w:rsid w:val="00003B23"/>
    <w:rsid w:val="00003C51"/>
    <w:rsid w:val="000042E3"/>
    <w:rsid w:val="0000463E"/>
    <w:rsid w:val="00005D44"/>
    <w:rsid w:val="00007E87"/>
    <w:rsid w:val="0001003C"/>
    <w:rsid w:val="00010172"/>
    <w:rsid w:val="0001125A"/>
    <w:rsid w:val="000131AB"/>
    <w:rsid w:val="0001400A"/>
    <w:rsid w:val="00014DEE"/>
    <w:rsid w:val="00015A30"/>
    <w:rsid w:val="00017CA8"/>
    <w:rsid w:val="000203C4"/>
    <w:rsid w:val="00022507"/>
    <w:rsid w:val="00023BB9"/>
    <w:rsid w:val="00024120"/>
    <w:rsid w:val="00024B0A"/>
    <w:rsid w:val="000250A2"/>
    <w:rsid w:val="00025E49"/>
    <w:rsid w:val="0002688A"/>
    <w:rsid w:val="00027296"/>
    <w:rsid w:val="000273DF"/>
    <w:rsid w:val="0002765C"/>
    <w:rsid w:val="00027A95"/>
    <w:rsid w:val="00027C0A"/>
    <w:rsid w:val="00030AE7"/>
    <w:rsid w:val="00030F61"/>
    <w:rsid w:val="0003167E"/>
    <w:rsid w:val="00031EBA"/>
    <w:rsid w:val="00032AE7"/>
    <w:rsid w:val="000333EE"/>
    <w:rsid w:val="00034A45"/>
    <w:rsid w:val="00034F9D"/>
    <w:rsid w:val="000350B2"/>
    <w:rsid w:val="0003517D"/>
    <w:rsid w:val="00035EED"/>
    <w:rsid w:val="00042C19"/>
    <w:rsid w:val="00042CCB"/>
    <w:rsid w:val="00043939"/>
    <w:rsid w:val="00044C60"/>
    <w:rsid w:val="00045273"/>
    <w:rsid w:val="00046124"/>
    <w:rsid w:val="00046FC0"/>
    <w:rsid w:val="00052C67"/>
    <w:rsid w:val="00054772"/>
    <w:rsid w:val="00054812"/>
    <w:rsid w:val="00055A37"/>
    <w:rsid w:val="00057AB7"/>
    <w:rsid w:val="00057BB0"/>
    <w:rsid w:val="000623D7"/>
    <w:rsid w:val="00063C81"/>
    <w:rsid w:val="0006407D"/>
    <w:rsid w:val="000711AA"/>
    <w:rsid w:val="000725EE"/>
    <w:rsid w:val="0007665A"/>
    <w:rsid w:val="00077693"/>
    <w:rsid w:val="0008019D"/>
    <w:rsid w:val="0008076E"/>
    <w:rsid w:val="00084770"/>
    <w:rsid w:val="00084BE7"/>
    <w:rsid w:val="00084CAE"/>
    <w:rsid w:val="000877B6"/>
    <w:rsid w:val="00090BA6"/>
    <w:rsid w:val="000921DF"/>
    <w:rsid w:val="000928DF"/>
    <w:rsid w:val="00095354"/>
    <w:rsid w:val="00095907"/>
    <w:rsid w:val="00096243"/>
    <w:rsid w:val="000963D2"/>
    <w:rsid w:val="00096718"/>
    <w:rsid w:val="0009765B"/>
    <w:rsid w:val="00097BF0"/>
    <w:rsid w:val="00097C2E"/>
    <w:rsid w:val="00097F82"/>
    <w:rsid w:val="000A1A5B"/>
    <w:rsid w:val="000A28EF"/>
    <w:rsid w:val="000A3070"/>
    <w:rsid w:val="000A4DEA"/>
    <w:rsid w:val="000A6957"/>
    <w:rsid w:val="000A6F23"/>
    <w:rsid w:val="000B0A59"/>
    <w:rsid w:val="000B203C"/>
    <w:rsid w:val="000B305C"/>
    <w:rsid w:val="000B3FE0"/>
    <w:rsid w:val="000B51FC"/>
    <w:rsid w:val="000B55EE"/>
    <w:rsid w:val="000B572D"/>
    <w:rsid w:val="000B61CE"/>
    <w:rsid w:val="000B68F3"/>
    <w:rsid w:val="000C0264"/>
    <w:rsid w:val="000C0BFB"/>
    <w:rsid w:val="000C309D"/>
    <w:rsid w:val="000C3F67"/>
    <w:rsid w:val="000C50BA"/>
    <w:rsid w:val="000C5FC0"/>
    <w:rsid w:val="000C6606"/>
    <w:rsid w:val="000C70F6"/>
    <w:rsid w:val="000C7B42"/>
    <w:rsid w:val="000D159E"/>
    <w:rsid w:val="000D1B4B"/>
    <w:rsid w:val="000D2054"/>
    <w:rsid w:val="000D2AC0"/>
    <w:rsid w:val="000D2C6D"/>
    <w:rsid w:val="000D4706"/>
    <w:rsid w:val="000D4A1E"/>
    <w:rsid w:val="000D5534"/>
    <w:rsid w:val="000D68CC"/>
    <w:rsid w:val="000D7DBC"/>
    <w:rsid w:val="000E0CE1"/>
    <w:rsid w:val="000E1323"/>
    <w:rsid w:val="000E2E8B"/>
    <w:rsid w:val="000E458E"/>
    <w:rsid w:val="000E45FB"/>
    <w:rsid w:val="000E49FC"/>
    <w:rsid w:val="000E58EF"/>
    <w:rsid w:val="000E6C54"/>
    <w:rsid w:val="000F008C"/>
    <w:rsid w:val="000F034B"/>
    <w:rsid w:val="000F06FC"/>
    <w:rsid w:val="000F0BAA"/>
    <w:rsid w:val="000F1E09"/>
    <w:rsid w:val="000F35BD"/>
    <w:rsid w:val="000F492A"/>
    <w:rsid w:val="000F590D"/>
    <w:rsid w:val="000F7947"/>
    <w:rsid w:val="001009D0"/>
    <w:rsid w:val="00100A02"/>
    <w:rsid w:val="00101486"/>
    <w:rsid w:val="00101904"/>
    <w:rsid w:val="001029A3"/>
    <w:rsid w:val="00102A93"/>
    <w:rsid w:val="001074E9"/>
    <w:rsid w:val="00110018"/>
    <w:rsid w:val="00111B0A"/>
    <w:rsid w:val="00112386"/>
    <w:rsid w:val="00113D38"/>
    <w:rsid w:val="00113F96"/>
    <w:rsid w:val="0011441F"/>
    <w:rsid w:val="00114A69"/>
    <w:rsid w:val="00117A73"/>
    <w:rsid w:val="00120AB6"/>
    <w:rsid w:val="00121316"/>
    <w:rsid w:val="00121E1C"/>
    <w:rsid w:val="001229EA"/>
    <w:rsid w:val="00123C2C"/>
    <w:rsid w:val="00124A45"/>
    <w:rsid w:val="00124F1A"/>
    <w:rsid w:val="0012609D"/>
    <w:rsid w:val="0012610F"/>
    <w:rsid w:val="00132C43"/>
    <w:rsid w:val="0013302F"/>
    <w:rsid w:val="0013390D"/>
    <w:rsid w:val="001340BB"/>
    <w:rsid w:val="00134357"/>
    <w:rsid w:val="001355BD"/>
    <w:rsid w:val="00137982"/>
    <w:rsid w:val="00137BDF"/>
    <w:rsid w:val="00137C6E"/>
    <w:rsid w:val="00137D82"/>
    <w:rsid w:val="00141465"/>
    <w:rsid w:val="00143BFB"/>
    <w:rsid w:val="00144045"/>
    <w:rsid w:val="001448CE"/>
    <w:rsid w:val="0014563D"/>
    <w:rsid w:val="00146ACF"/>
    <w:rsid w:val="00146B24"/>
    <w:rsid w:val="00146E40"/>
    <w:rsid w:val="0014748E"/>
    <w:rsid w:val="00147AA9"/>
    <w:rsid w:val="00147D40"/>
    <w:rsid w:val="00150C5B"/>
    <w:rsid w:val="00151D7C"/>
    <w:rsid w:val="00152264"/>
    <w:rsid w:val="001523F5"/>
    <w:rsid w:val="00153ACF"/>
    <w:rsid w:val="0015606D"/>
    <w:rsid w:val="001564E7"/>
    <w:rsid w:val="001607C7"/>
    <w:rsid w:val="00161C7C"/>
    <w:rsid w:val="0016239E"/>
    <w:rsid w:val="00163E58"/>
    <w:rsid w:val="00164560"/>
    <w:rsid w:val="001647D4"/>
    <w:rsid w:val="00164A5C"/>
    <w:rsid w:val="00164D4F"/>
    <w:rsid w:val="001662AD"/>
    <w:rsid w:val="001707A1"/>
    <w:rsid w:val="00170FEE"/>
    <w:rsid w:val="001735CF"/>
    <w:rsid w:val="00173D1C"/>
    <w:rsid w:val="00174942"/>
    <w:rsid w:val="00174955"/>
    <w:rsid w:val="001760BF"/>
    <w:rsid w:val="00176A0F"/>
    <w:rsid w:val="001829F0"/>
    <w:rsid w:val="001837B4"/>
    <w:rsid w:val="001838C7"/>
    <w:rsid w:val="00185E6A"/>
    <w:rsid w:val="00186C70"/>
    <w:rsid w:val="0018709A"/>
    <w:rsid w:val="0019132E"/>
    <w:rsid w:val="00192224"/>
    <w:rsid w:val="00193523"/>
    <w:rsid w:val="00193FA7"/>
    <w:rsid w:val="00194030"/>
    <w:rsid w:val="001971C0"/>
    <w:rsid w:val="00197CE6"/>
    <w:rsid w:val="001A127C"/>
    <w:rsid w:val="001A2754"/>
    <w:rsid w:val="001A431E"/>
    <w:rsid w:val="001A56D4"/>
    <w:rsid w:val="001A5AA7"/>
    <w:rsid w:val="001A5F1C"/>
    <w:rsid w:val="001A7B72"/>
    <w:rsid w:val="001B03A7"/>
    <w:rsid w:val="001B107C"/>
    <w:rsid w:val="001B1428"/>
    <w:rsid w:val="001B19C2"/>
    <w:rsid w:val="001B2320"/>
    <w:rsid w:val="001B341B"/>
    <w:rsid w:val="001B362E"/>
    <w:rsid w:val="001B3819"/>
    <w:rsid w:val="001B3EB1"/>
    <w:rsid w:val="001B4971"/>
    <w:rsid w:val="001B740E"/>
    <w:rsid w:val="001B7D83"/>
    <w:rsid w:val="001C037A"/>
    <w:rsid w:val="001C2F02"/>
    <w:rsid w:val="001C5B53"/>
    <w:rsid w:val="001D0D7A"/>
    <w:rsid w:val="001D0E4C"/>
    <w:rsid w:val="001D15CE"/>
    <w:rsid w:val="001D3CA7"/>
    <w:rsid w:val="001D4D21"/>
    <w:rsid w:val="001D5F06"/>
    <w:rsid w:val="001E11F3"/>
    <w:rsid w:val="001E20FB"/>
    <w:rsid w:val="001E2941"/>
    <w:rsid w:val="001E32D8"/>
    <w:rsid w:val="001E46C6"/>
    <w:rsid w:val="001E5FCC"/>
    <w:rsid w:val="001E7EF2"/>
    <w:rsid w:val="001F1694"/>
    <w:rsid w:val="001F3174"/>
    <w:rsid w:val="001F3401"/>
    <w:rsid w:val="001F364C"/>
    <w:rsid w:val="001F3DFD"/>
    <w:rsid w:val="001F623C"/>
    <w:rsid w:val="001F6419"/>
    <w:rsid w:val="002017CB"/>
    <w:rsid w:val="002030CB"/>
    <w:rsid w:val="00204154"/>
    <w:rsid w:val="00204F14"/>
    <w:rsid w:val="0020725A"/>
    <w:rsid w:val="002104A1"/>
    <w:rsid w:val="0021155A"/>
    <w:rsid w:val="00213C9E"/>
    <w:rsid w:val="00215B00"/>
    <w:rsid w:val="00221D53"/>
    <w:rsid w:val="00222224"/>
    <w:rsid w:val="00222D5A"/>
    <w:rsid w:val="00223D0A"/>
    <w:rsid w:val="002243A7"/>
    <w:rsid w:val="00225C78"/>
    <w:rsid w:val="00227DF7"/>
    <w:rsid w:val="002306A1"/>
    <w:rsid w:val="00231A74"/>
    <w:rsid w:val="002349FD"/>
    <w:rsid w:val="00236D20"/>
    <w:rsid w:val="00240E14"/>
    <w:rsid w:val="002432CD"/>
    <w:rsid w:val="00243FCC"/>
    <w:rsid w:val="00244E30"/>
    <w:rsid w:val="0024528D"/>
    <w:rsid w:val="00245AFF"/>
    <w:rsid w:val="002474C1"/>
    <w:rsid w:val="00251EE5"/>
    <w:rsid w:val="00253689"/>
    <w:rsid w:val="00253C42"/>
    <w:rsid w:val="00253DAB"/>
    <w:rsid w:val="0025489F"/>
    <w:rsid w:val="00255812"/>
    <w:rsid w:val="00256AB0"/>
    <w:rsid w:val="00257D67"/>
    <w:rsid w:val="00260FD7"/>
    <w:rsid w:val="0026177F"/>
    <w:rsid w:val="00261A2C"/>
    <w:rsid w:val="00261CB8"/>
    <w:rsid w:val="00261F83"/>
    <w:rsid w:val="00262818"/>
    <w:rsid w:val="002631E2"/>
    <w:rsid w:val="00263D06"/>
    <w:rsid w:val="0026420D"/>
    <w:rsid w:val="002659D9"/>
    <w:rsid w:val="00265C3B"/>
    <w:rsid w:val="00266127"/>
    <w:rsid w:val="00267068"/>
    <w:rsid w:val="002678EF"/>
    <w:rsid w:val="00267B8A"/>
    <w:rsid w:val="00267E6E"/>
    <w:rsid w:val="00270613"/>
    <w:rsid w:val="00271208"/>
    <w:rsid w:val="00271D60"/>
    <w:rsid w:val="002724DA"/>
    <w:rsid w:val="00272BB7"/>
    <w:rsid w:val="00272CE1"/>
    <w:rsid w:val="00272F91"/>
    <w:rsid w:val="00277205"/>
    <w:rsid w:val="00280690"/>
    <w:rsid w:val="00282937"/>
    <w:rsid w:val="002830FE"/>
    <w:rsid w:val="00283EC3"/>
    <w:rsid w:val="0028444B"/>
    <w:rsid w:val="00285826"/>
    <w:rsid w:val="002859BF"/>
    <w:rsid w:val="00285F80"/>
    <w:rsid w:val="00286BE0"/>
    <w:rsid w:val="00286E54"/>
    <w:rsid w:val="00286FEE"/>
    <w:rsid w:val="00291FF9"/>
    <w:rsid w:val="002941DD"/>
    <w:rsid w:val="0029672F"/>
    <w:rsid w:val="0029739B"/>
    <w:rsid w:val="002A0685"/>
    <w:rsid w:val="002A0C35"/>
    <w:rsid w:val="002A1318"/>
    <w:rsid w:val="002A1497"/>
    <w:rsid w:val="002A1807"/>
    <w:rsid w:val="002A60A0"/>
    <w:rsid w:val="002A77C9"/>
    <w:rsid w:val="002B0303"/>
    <w:rsid w:val="002B0847"/>
    <w:rsid w:val="002B0A47"/>
    <w:rsid w:val="002B1319"/>
    <w:rsid w:val="002B1715"/>
    <w:rsid w:val="002B1E5B"/>
    <w:rsid w:val="002B25EC"/>
    <w:rsid w:val="002B3436"/>
    <w:rsid w:val="002B3474"/>
    <w:rsid w:val="002B4080"/>
    <w:rsid w:val="002B4B21"/>
    <w:rsid w:val="002B505E"/>
    <w:rsid w:val="002B52F2"/>
    <w:rsid w:val="002B5430"/>
    <w:rsid w:val="002B5A11"/>
    <w:rsid w:val="002B639B"/>
    <w:rsid w:val="002B68F6"/>
    <w:rsid w:val="002B6B6D"/>
    <w:rsid w:val="002B6BE9"/>
    <w:rsid w:val="002B7178"/>
    <w:rsid w:val="002C05B4"/>
    <w:rsid w:val="002C0AA9"/>
    <w:rsid w:val="002C0CCA"/>
    <w:rsid w:val="002C0E53"/>
    <w:rsid w:val="002C0F10"/>
    <w:rsid w:val="002C1B36"/>
    <w:rsid w:val="002C2081"/>
    <w:rsid w:val="002C2104"/>
    <w:rsid w:val="002C240A"/>
    <w:rsid w:val="002C2901"/>
    <w:rsid w:val="002C4947"/>
    <w:rsid w:val="002C52D9"/>
    <w:rsid w:val="002C7078"/>
    <w:rsid w:val="002D2370"/>
    <w:rsid w:val="002D29B2"/>
    <w:rsid w:val="002D2EAD"/>
    <w:rsid w:val="002D3C8E"/>
    <w:rsid w:val="002D506D"/>
    <w:rsid w:val="002D5195"/>
    <w:rsid w:val="002D5E8D"/>
    <w:rsid w:val="002D6213"/>
    <w:rsid w:val="002D6759"/>
    <w:rsid w:val="002D6856"/>
    <w:rsid w:val="002D76FA"/>
    <w:rsid w:val="002E0470"/>
    <w:rsid w:val="002E32CD"/>
    <w:rsid w:val="002E3C77"/>
    <w:rsid w:val="002E4C22"/>
    <w:rsid w:val="002E58A7"/>
    <w:rsid w:val="002E5FDE"/>
    <w:rsid w:val="002F074E"/>
    <w:rsid w:val="002F0F76"/>
    <w:rsid w:val="002F2074"/>
    <w:rsid w:val="002F2827"/>
    <w:rsid w:val="002F2C2C"/>
    <w:rsid w:val="002F53FC"/>
    <w:rsid w:val="002F66F3"/>
    <w:rsid w:val="002F78B1"/>
    <w:rsid w:val="00302546"/>
    <w:rsid w:val="00302E89"/>
    <w:rsid w:val="00303161"/>
    <w:rsid w:val="00304E9F"/>
    <w:rsid w:val="00304F34"/>
    <w:rsid w:val="00310C14"/>
    <w:rsid w:val="00310C5F"/>
    <w:rsid w:val="00311056"/>
    <w:rsid w:val="00311588"/>
    <w:rsid w:val="00311E24"/>
    <w:rsid w:val="00313356"/>
    <w:rsid w:val="00313620"/>
    <w:rsid w:val="0031427D"/>
    <w:rsid w:val="003149A2"/>
    <w:rsid w:val="00314C84"/>
    <w:rsid w:val="00314FC9"/>
    <w:rsid w:val="0031576C"/>
    <w:rsid w:val="003159E2"/>
    <w:rsid w:val="00315B22"/>
    <w:rsid w:val="00315BEB"/>
    <w:rsid w:val="00317314"/>
    <w:rsid w:val="00317B68"/>
    <w:rsid w:val="00320072"/>
    <w:rsid w:val="00320310"/>
    <w:rsid w:val="003209EA"/>
    <w:rsid w:val="00320D45"/>
    <w:rsid w:val="0032127F"/>
    <w:rsid w:val="003218DE"/>
    <w:rsid w:val="003221B2"/>
    <w:rsid w:val="003240F1"/>
    <w:rsid w:val="003257B9"/>
    <w:rsid w:val="003263BB"/>
    <w:rsid w:val="00327906"/>
    <w:rsid w:val="003316B3"/>
    <w:rsid w:val="00332977"/>
    <w:rsid w:val="00333189"/>
    <w:rsid w:val="00333DA6"/>
    <w:rsid w:val="00334FE6"/>
    <w:rsid w:val="00336547"/>
    <w:rsid w:val="003370CC"/>
    <w:rsid w:val="00341BDD"/>
    <w:rsid w:val="003432BE"/>
    <w:rsid w:val="003439F5"/>
    <w:rsid w:val="003458C2"/>
    <w:rsid w:val="00346F6D"/>
    <w:rsid w:val="003476BD"/>
    <w:rsid w:val="00351710"/>
    <w:rsid w:val="0035195F"/>
    <w:rsid w:val="0035289C"/>
    <w:rsid w:val="00353280"/>
    <w:rsid w:val="003539C1"/>
    <w:rsid w:val="003541D6"/>
    <w:rsid w:val="00355333"/>
    <w:rsid w:val="003554D0"/>
    <w:rsid w:val="00360471"/>
    <w:rsid w:val="003604B1"/>
    <w:rsid w:val="00361525"/>
    <w:rsid w:val="003616F0"/>
    <w:rsid w:val="00361984"/>
    <w:rsid w:val="00362742"/>
    <w:rsid w:val="00362A3C"/>
    <w:rsid w:val="00364622"/>
    <w:rsid w:val="00364C62"/>
    <w:rsid w:val="003709BB"/>
    <w:rsid w:val="00370D3A"/>
    <w:rsid w:val="003719A0"/>
    <w:rsid w:val="00372892"/>
    <w:rsid w:val="00373725"/>
    <w:rsid w:val="00375937"/>
    <w:rsid w:val="00375DA8"/>
    <w:rsid w:val="0037633D"/>
    <w:rsid w:val="00376C03"/>
    <w:rsid w:val="0038011A"/>
    <w:rsid w:val="003802DC"/>
    <w:rsid w:val="003807A5"/>
    <w:rsid w:val="00381482"/>
    <w:rsid w:val="00382AB9"/>
    <w:rsid w:val="00384A8F"/>
    <w:rsid w:val="00384DCF"/>
    <w:rsid w:val="00386FEF"/>
    <w:rsid w:val="00392503"/>
    <w:rsid w:val="00393A3E"/>
    <w:rsid w:val="0039494B"/>
    <w:rsid w:val="00394AB6"/>
    <w:rsid w:val="00395262"/>
    <w:rsid w:val="00395D0F"/>
    <w:rsid w:val="00395FB1"/>
    <w:rsid w:val="003968C1"/>
    <w:rsid w:val="003969DB"/>
    <w:rsid w:val="00397139"/>
    <w:rsid w:val="00397256"/>
    <w:rsid w:val="00397518"/>
    <w:rsid w:val="003A1AF3"/>
    <w:rsid w:val="003A2518"/>
    <w:rsid w:val="003A34F3"/>
    <w:rsid w:val="003A3770"/>
    <w:rsid w:val="003A472A"/>
    <w:rsid w:val="003A6B4D"/>
    <w:rsid w:val="003A6D1F"/>
    <w:rsid w:val="003A6F04"/>
    <w:rsid w:val="003A77F0"/>
    <w:rsid w:val="003B08BD"/>
    <w:rsid w:val="003B2236"/>
    <w:rsid w:val="003B2577"/>
    <w:rsid w:val="003B2F9B"/>
    <w:rsid w:val="003B319A"/>
    <w:rsid w:val="003B3211"/>
    <w:rsid w:val="003B3A5E"/>
    <w:rsid w:val="003B4A39"/>
    <w:rsid w:val="003B59AF"/>
    <w:rsid w:val="003B687D"/>
    <w:rsid w:val="003B6AD6"/>
    <w:rsid w:val="003C0285"/>
    <w:rsid w:val="003C1147"/>
    <w:rsid w:val="003C19EC"/>
    <w:rsid w:val="003C2483"/>
    <w:rsid w:val="003C328E"/>
    <w:rsid w:val="003C34DB"/>
    <w:rsid w:val="003C37D2"/>
    <w:rsid w:val="003C387D"/>
    <w:rsid w:val="003C3CA0"/>
    <w:rsid w:val="003C68C4"/>
    <w:rsid w:val="003C712D"/>
    <w:rsid w:val="003C7522"/>
    <w:rsid w:val="003C7830"/>
    <w:rsid w:val="003D1027"/>
    <w:rsid w:val="003D1604"/>
    <w:rsid w:val="003D3E25"/>
    <w:rsid w:val="003D4F70"/>
    <w:rsid w:val="003D5F6F"/>
    <w:rsid w:val="003D7CA1"/>
    <w:rsid w:val="003D7DBB"/>
    <w:rsid w:val="003E0D0E"/>
    <w:rsid w:val="003E2D2A"/>
    <w:rsid w:val="003E3825"/>
    <w:rsid w:val="003E4357"/>
    <w:rsid w:val="003E4EB4"/>
    <w:rsid w:val="003E6356"/>
    <w:rsid w:val="003E75A7"/>
    <w:rsid w:val="003F2088"/>
    <w:rsid w:val="003F2334"/>
    <w:rsid w:val="003F2FDB"/>
    <w:rsid w:val="003F3204"/>
    <w:rsid w:val="003F4854"/>
    <w:rsid w:val="003F52A1"/>
    <w:rsid w:val="003F5F26"/>
    <w:rsid w:val="003F6A4F"/>
    <w:rsid w:val="0040205A"/>
    <w:rsid w:val="004041E6"/>
    <w:rsid w:val="00404FAE"/>
    <w:rsid w:val="00406211"/>
    <w:rsid w:val="00407321"/>
    <w:rsid w:val="00410AA2"/>
    <w:rsid w:val="00410DB2"/>
    <w:rsid w:val="00411D82"/>
    <w:rsid w:val="00412B5C"/>
    <w:rsid w:val="00413A39"/>
    <w:rsid w:val="00414FE5"/>
    <w:rsid w:val="00415651"/>
    <w:rsid w:val="004169D0"/>
    <w:rsid w:val="0041704C"/>
    <w:rsid w:val="00420EB9"/>
    <w:rsid w:val="00421E71"/>
    <w:rsid w:val="00423016"/>
    <w:rsid w:val="0042307A"/>
    <w:rsid w:val="00423DC3"/>
    <w:rsid w:val="0042426A"/>
    <w:rsid w:val="00424FB6"/>
    <w:rsid w:val="004255E3"/>
    <w:rsid w:val="00425610"/>
    <w:rsid w:val="0042726A"/>
    <w:rsid w:val="00427430"/>
    <w:rsid w:val="00427B9B"/>
    <w:rsid w:val="00430743"/>
    <w:rsid w:val="00431E8B"/>
    <w:rsid w:val="00433DB0"/>
    <w:rsid w:val="00433ED5"/>
    <w:rsid w:val="00435891"/>
    <w:rsid w:val="004358E0"/>
    <w:rsid w:val="00435D6C"/>
    <w:rsid w:val="00436EB7"/>
    <w:rsid w:val="00437D22"/>
    <w:rsid w:val="00441062"/>
    <w:rsid w:val="0044146F"/>
    <w:rsid w:val="00441B33"/>
    <w:rsid w:val="00442260"/>
    <w:rsid w:val="00442347"/>
    <w:rsid w:val="00443256"/>
    <w:rsid w:val="004436B8"/>
    <w:rsid w:val="00443861"/>
    <w:rsid w:val="004443F6"/>
    <w:rsid w:val="00444CAC"/>
    <w:rsid w:val="00446A07"/>
    <w:rsid w:val="00446A16"/>
    <w:rsid w:val="00447A5B"/>
    <w:rsid w:val="004501B5"/>
    <w:rsid w:val="00450999"/>
    <w:rsid w:val="0045351B"/>
    <w:rsid w:val="0045369F"/>
    <w:rsid w:val="00455CA2"/>
    <w:rsid w:val="00456709"/>
    <w:rsid w:val="0046055E"/>
    <w:rsid w:val="00460888"/>
    <w:rsid w:val="00461EC0"/>
    <w:rsid w:val="00462175"/>
    <w:rsid w:val="004635F7"/>
    <w:rsid w:val="00464392"/>
    <w:rsid w:val="00464B8B"/>
    <w:rsid w:val="00467E5F"/>
    <w:rsid w:val="00470459"/>
    <w:rsid w:val="004706D5"/>
    <w:rsid w:val="00470D9C"/>
    <w:rsid w:val="00471AEC"/>
    <w:rsid w:val="00471C5A"/>
    <w:rsid w:val="00472C4F"/>
    <w:rsid w:val="00474441"/>
    <w:rsid w:val="00475C47"/>
    <w:rsid w:val="00475D52"/>
    <w:rsid w:val="004765CF"/>
    <w:rsid w:val="00476A81"/>
    <w:rsid w:val="004775FC"/>
    <w:rsid w:val="00477961"/>
    <w:rsid w:val="004807FA"/>
    <w:rsid w:val="00483145"/>
    <w:rsid w:val="00483815"/>
    <w:rsid w:val="004838F1"/>
    <w:rsid w:val="0048409D"/>
    <w:rsid w:val="00485501"/>
    <w:rsid w:val="004858F6"/>
    <w:rsid w:val="004864C5"/>
    <w:rsid w:val="00487116"/>
    <w:rsid w:val="00490B31"/>
    <w:rsid w:val="0049121F"/>
    <w:rsid w:val="00491966"/>
    <w:rsid w:val="004920D8"/>
    <w:rsid w:val="00492466"/>
    <w:rsid w:val="00493123"/>
    <w:rsid w:val="00493BDE"/>
    <w:rsid w:val="0049455D"/>
    <w:rsid w:val="00496528"/>
    <w:rsid w:val="00496EF5"/>
    <w:rsid w:val="004972E1"/>
    <w:rsid w:val="004A0BE1"/>
    <w:rsid w:val="004A10A6"/>
    <w:rsid w:val="004A16D8"/>
    <w:rsid w:val="004A2BD3"/>
    <w:rsid w:val="004A55C1"/>
    <w:rsid w:val="004A7360"/>
    <w:rsid w:val="004A774B"/>
    <w:rsid w:val="004A7B02"/>
    <w:rsid w:val="004B220E"/>
    <w:rsid w:val="004B2808"/>
    <w:rsid w:val="004B2A52"/>
    <w:rsid w:val="004B3653"/>
    <w:rsid w:val="004B4209"/>
    <w:rsid w:val="004B7812"/>
    <w:rsid w:val="004C0614"/>
    <w:rsid w:val="004C19D8"/>
    <w:rsid w:val="004C2A16"/>
    <w:rsid w:val="004C30C5"/>
    <w:rsid w:val="004C5CEA"/>
    <w:rsid w:val="004C6303"/>
    <w:rsid w:val="004C6C7B"/>
    <w:rsid w:val="004C7745"/>
    <w:rsid w:val="004D1B1D"/>
    <w:rsid w:val="004D2BD0"/>
    <w:rsid w:val="004D2E04"/>
    <w:rsid w:val="004D40E0"/>
    <w:rsid w:val="004D428D"/>
    <w:rsid w:val="004D573C"/>
    <w:rsid w:val="004D771E"/>
    <w:rsid w:val="004D7C26"/>
    <w:rsid w:val="004E3648"/>
    <w:rsid w:val="004E64CA"/>
    <w:rsid w:val="004E6638"/>
    <w:rsid w:val="004E67D8"/>
    <w:rsid w:val="004E7A6E"/>
    <w:rsid w:val="004F05A3"/>
    <w:rsid w:val="004F3135"/>
    <w:rsid w:val="004F3355"/>
    <w:rsid w:val="004F4C4F"/>
    <w:rsid w:val="004F5DBE"/>
    <w:rsid w:val="004F66C3"/>
    <w:rsid w:val="00500E74"/>
    <w:rsid w:val="00500EBE"/>
    <w:rsid w:val="00502664"/>
    <w:rsid w:val="00504240"/>
    <w:rsid w:val="00506AD7"/>
    <w:rsid w:val="00507537"/>
    <w:rsid w:val="005075F8"/>
    <w:rsid w:val="00511CAF"/>
    <w:rsid w:val="00512A17"/>
    <w:rsid w:val="005169CA"/>
    <w:rsid w:val="005170A8"/>
    <w:rsid w:val="00517225"/>
    <w:rsid w:val="00517FC5"/>
    <w:rsid w:val="00521F6C"/>
    <w:rsid w:val="00525443"/>
    <w:rsid w:val="0052580C"/>
    <w:rsid w:val="00525ACA"/>
    <w:rsid w:val="00525B48"/>
    <w:rsid w:val="00525B9A"/>
    <w:rsid w:val="00526B95"/>
    <w:rsid w:val="005271AC"/>
    <w:rsid w:val="00527381"/>
    <w:rsid w:val="00527CE2"/>
    <w:rsid w:val="00527E06"/>
    <w:rsid w:val="00527F7B"/>
    <w:rsid w:val="00532B49"/>
    <w:rsid w:val="005343E7"/>
    <w:rsid w:val="005346DE"/>
    <w:rsid w:val="00535716"/>
    <w:rsid w:val="00535EA9"/>
    <w:rsid w:val="00536376"/>
    <w:rsid w:val="005371FE"/>
    <w:rsid w:val="00540014"/>
    <w:rsid w:val="005404C7"/>
    <w:rsid w:val="005408E7"/>
    <w:rsid w:val="005410BA"/>
    <w:rsid w:val="00543E96"/>
    <w:rsid w:val="00544B42"/>
    <w:rsid w:val="0054564D"/>
    <w:rsid w:val="00551640"/>
    <w:rsid w:val="005524FC"/>
    <w:rsid w:val="0055283A"/>
    <w:rsid w:val="00554164"/>
    <w:rsid w:val="00554949"/>
    <w:rsid w:val="0055612D"/>
    <w:rsid w:val="00556559"/>
    <w:rsid w:val="005571BB"/>
    <w:rsid w:val="005603CD"/>
    <w:rsid w:val="00560FA6"/>
    <w:rsid w:val="0056120A"/>
    <w:rsid w:val="0056120D"/>
    <w:rsid w:val="005619A0"/>
    <w:rsid w:val="00561CB3"/>
    <w:rsid w:val="00562AA7"/>
    <w:rsid w:val="00562B0A"/>
    <w:rsid w:val="00562C17"/>
    <w:rsid w:val="00562CA9"/>
    <w:rsid w:val="00563629"/>
    <w:rsid w:val="00563B3A"/>
    <w:rsid w:val="00563E0C"/>
    <w:rsid w:val="00564296"/>
    <w:rsid w:val="005651BE"/>
    <w:rsid w:val="0056553B"/>
    <w:rsid w:val="0056676B"/>
    <w:rsid w:val="005668D7"/>
    <w:rsid w:val="0056759F"/>
    <w:rsid w:val="0057046D"/>
    <w:rsid w:val="0057139B"/>
    <w:rsid w:val="0057179A"/>
    <w:rsid w:val="00571A2F"/>
    <w:rsid w:val="00573055"/>
    <w:rsid w:val="00573C45"/>
    <w:rsid w:val="0057554A"/>
    <w:rsid w:val="0057694F"/>
    <w:rsid w:val="0058102A"/>
    <w:rsid w:val="00581AFF"/>
    <w:rsid w:val="00582D95"/>
    <w:rsid w:val="00583E35"/>
    <w:rsid w:val="005855BC"/>
    <w:rsid w:val="00585769"/>
    <w:rsid w:val="00585BBB"/>
    <w:rsid w:val="00585CDE"/>
    <w:rsid w:val="00587E33"/>
    <w:rsid w:val="00590390"/>
    <w:rsid w:val="0059129C"/>
    <w:rsid w:val="00591C02"/>
    <w:rsid w:val="00592B21"/>
    <w:rsid w:val="00593050"/>
    <w:rsid w:val="0059446A"/>
    <w:rsid w:val="00594C92"/>
    <w:rsid w:val="00595BAD"/>
    <w:rsid w:val="00596F97"/>
    <w:rsid w:val="00597B4D"/>
    <w:rsid w:val="00597C53"/>
    <w:rsid w:val="005A0831"/>
    <w:rsid w:val="005A1EC3"/>
    <w:rsid w:val="005A2B32"/>
    <w:rsid w:val="005A3B1D"/>
    <w:rsid w:val="005A50DC"/>
    <w:rsid w:val="005A7582"/>
    <w:rsid w:val="005B1684"/>
    <w:rsid w:val="005B17CC"/>
    <w:rsid w:val="005B1ABE"/>
    <w:rsid w:val="005B23FB"/>
    <w:rsid w:val="005B35E4"/>
    <w:rsid w:val="005B44D1"/>
    <w:rsid w:val="005B459A"/>
    <w:rsid w:val="005B49E0"/>
    <w:rsid w:val="005B4BB5"/>
    <w:rsid w:val="005C046B"/>
    <w:rsid w:val="005C1AEB"/>
    <w:rsid w:val="005C37AB"/>
    <w:rsid w:val="005C4398"/>
    <w:rsid w:val="005C5E4E"/>
    <w:rsid w:val="005C7408"/>
    <w:rsid w:val="005C7BC0"/>
    <w:rsid w:val="005D01CD"/>
    <w:rsid w:val="005D05A2"/>
    <w:rsid w:val="005D14E0"/>
    <w:rsid w:val="005D2931"/>
    <w:rsid w:val="005D2D8F"/>
    <w:rsid w:val="005D439F"/>
    <w:rsid w:val="005D44B1"/>
    <w:rsid w:val="005D4875"/>
    <w:rsid w:val="005D58C9"/>
    <w:rsid w:val="005D5CB3"/>
    <w:rsid w:val="005D6FC9"/>
    <w:rsid w:val="005D7F0B"/>
    <w:rsid w:val="005E1A99"/>
    <w:rsid w:val="005E2066"/>
    <w:rsid w:val="005E23D7"/>
    <w:rsid w:val="005E2A5A"/>
    <w:rsid w:val="005E4426"/>
    <w:rsid w:val="005F2335"/>
    <w:rsid w:val="005F23D9"/>
    <w:rsid w:val="005F32D9"/>
    <w:rsid w:val="005F3A87"/>
    <w:rsid w:val="005F43CC"/>
    <w:rsid w:val="00600AED"/>
    <w:rsid w:val="006017F2"/>
    <w:rsid w:val="00601B38"/>
    <w:rsid w:val="00602077"/>
    <w:rsid w:val="006051D0"/>
    <w:rsid w:val="00605D48"/>
    <w:rsid w:val="006114D2"/>
    <w:rsid w:val="00616E01"/>
    <w:rsid w:val="006207B1"/>
    <w:rsid w:val="006208EB"/>
    <w:rsid w:val="006210A8"/>
    <w:rsid w:val="00621932"/>
    <w:rsid w:val="00622B06"/>
    <w:rsid w:val="00622FBD"/>
    <w:rsid w:val="0062319D"/>
    <w:rsid w:val="006238B7"/>
    <w:rsid w:val="00625209"/>
    <w:rsid w:val="00626C69"/>
    <w:rsid w:val="00626E2E"/>
    <w:rsid w:val="00627356"/>
    <w:rsid w:val="0063185D"/>
    <w:rsid w:val="00632427"/>
    <w:rsid w:val="0063317C"/>
    <w:rsid w:val="0063413F"/>
    <w:rsid w:val="00634210"/>
    <w:rsid w:val="00634D9C"/>
    <w:rsid w:val="00635932"/>
    <w:rsid w:val="006370E9"/>
    <w:rsid w:val="00637211"/>
    <w:rsid w:val="00637217"/>
    <w:rsid w:val="00641A0B"/>
    <w:rsid w:val="00641E8F"/>
    <w:rsid w:val="00642443"/>
    <w:rsid w:val="00643AAF"/>
    <w:rsid w:val="00643FD3"/>
    <w:rsid w:val="00645836"/>
    <w:rsid w:val="00646381"/>
    <w:rsid w:val="0064639D"/>
    <w:rsid w:val="00646879"/>
    <w:rsid w:val="00651B6D"/>
    <w:rsid w:val="00651E83"/>
    <w:rsid w:val="00652429"/>
    <w:rsid w:val="00652A5C"/>
    <w:rsid w:val="00653686"/>
    <w:rsid w:val="00653803"/>
    <w:rsid w:val="00653F28"/>
    <w:rsid w:val="00654F0F"/>
    <w:rsid w:val="00656166"/>
    <w:rsid w:val="006565D1"/>
    <w:rsid w:val="00657F6E"/>
    <w:rsid w:val="00660004"/>
    <w:rsid w:val="006625D7"/>
    <w:rsid w:val="0066264B"/>
    <w:rsid w:val="0066295C"/>
    <w:rsid w:val="00664AE3"/>
    <w:rsid w:val="0066522E"/>
    <w:rsid w:val="006665DC"/>
    <w:rsid w:val="00666CEB"/>
    <w:rsid w:val="0066786A"/>
    <w:rsid w:val="00667CF9"/>
    <w:rsid w:val="0067020A"/>
    <w:rsid w:val="006702D5"/>
    <w:rsid w:val="0067165D"/>
    <w:rsid w:val="00671970"/>
    <w:rsid w:val="00673B88"/>
    <w:rsid w:val="00673C72"/>
    <w:rsid w:val="006754A7"/>
    <w:rsid w:val="0067648F"/>
    <w:rsid w:val="00676E0B"/>
    <w:rsid w:val="00680D03"/>
    <w:rsid w:val="0068135C"/>
    <w:rsid w:val="0068202E"/>
    <w:rsid w:val="006827EF"/>
    <w:rsid w:val="006835D5"/>
    <w:rsid w:val="00683CEE"/>
    <w:rsid w:val="0068415B"/>
    <w:rsid w:val="00685C68"/>
    <w:rsid w:val="00686094"/>
    <w:rsid w:val="006906CC"/>
    <w:rsid w:val="006924BF"/>
    <w:rsid w:val="0069397D"/>
    <w:rsid w:val="00693BD2"/>
    <w:rsid w:val="00695F9D"/>
    <w:rsid w:val="006963C7"/>
    <w:rsid w:val="0069650E"/>
    <w:rsid w:val="0069683D"/>
    <w:rsid w:val="006976EF"/>
    <w:rsid w:val="006A1E5C"/>
    <w:rsid w:val="006A1F9C"/>
    <w:rsid w:val="006A4163"/>
    <w:rsid w:val="006A46FE"/>
    <w:rsid w:val="006A596A"/>
    <w:rsid w:val="006A6229"/>
    <w:rsid w:val="006A68D2"/>
    <w:rsid w:val="006A6A20"/>
    <w:rsid w:val="006A6BC2"/>
    <w:rsid w:val="006A7AC2"/>
    <w:rsid w:val="006B051D"/>
    <w:rsid w:val="006B0E2E"/>
    <w:rsid w:val="006B395A"/>
    <w:rsid w:val="006B3D59"/>
    <w:rsid w:val="006B4B2A"/>
    <w:rsid w:val="006B5443"/>
    <w:rsid w:val="006C0D22"/>
    <w:rsid w:val="006C1381"/>
    <w:rsid w:val="006C4E24"/>
    <w:rsid w:val="006D0172"/>
    <w:rsid w:val="006D08D2"/>
    <w:rsid w:val="006D0918"/>
    <w:rsid w:val="006D1714"/>
    <w:rsid w:val="006D35BB"/>
    <w:rsid w:val="006D3B2C"/>
    <w:rsid w:val="006D5219"/>
    <w:rsid w:val="006D55A6"/>
    <w:rsid w:val="006D6C12"/>
    <w:rsid w:val="006D7056"/>
    <w:rsid w:val="006E07C5"/>
    <w:rsid w:val="006E19A5"/>
    <w:rsid w:val="006E2A10"/>
    <w:rsid w:val="006E4559"/>
    <w:rsid w:val="006E48EA"/>
    <w:rsid w:val="006E5FC0"/>
    <w:rsid w:val="006E6ACC"/>
    <w:rsid w:val="006E6FF4"/>
    <w:rsid w:val="006E74CA"/>
    <w:rsid w:val="006E7618"/>
    <w:rsid w:val="006F068A"/>
    <w:rsid w:val="006F2E0C"/>
    <w:rsid w:val="006F31F9"/>
    <w:rsid w:val="006F40BD"/>
    <w:rsid w:val="006F4C78"/>
    <w:rsid w:val="006F5993"/>
    <w:rsid w:val="006F6566"/>
    <w:rsid w:val="006F7281"/>
    <w:rsid w:val="006F7B98"/>
    <w:rsid w:val="006F7EEE"/>
    <w:rsid w:val="007005AA"/>
    <w:rsid w:val="0070098E"/>
    <w:rsid w:val="0070262C"/>
    <w:rsid w:val="00703BFF"/>
    <w:rsid w:val="00705431"/>
    <w:rsid w:val="0070605E"/>
    <w:rsid w:val="0071001E"/>
    <w:rsid w:val="00710057"/>
    <w:rsid w:val="00710F9A"/>
    <w:rsid w:val="00711373"/>
    <w:rsid w:val="00711413"/>
    <w:rsid w:val="0071243D"/>
    <w:rsid w:val="0071345D"/>
    <w:rsid w:val="00714446"/>
    <w:rsid w:val="00714CB3"/>
    <w:rsid w:val="007165E8"/>
    <w:rsid w:val="0071701D"/>
    <w:rsid w:val="00717C57"/>
    <w:rsid w:val="00722283"/>
    <w:rsid w:val="007231DF"/>
    <w:rsid w:val="0072419A"/>
    <w:rsid w:val="00724329"/>
    <w:rsid w:val="007245B5"/>
    <w:rsid w:val="00725777"/>
    <w:rsid w:val="00727E5C"/>
    <w:rsid w:val="007309C5"/>
    <w:rsid w:val="00732224"/>
    <w:rsid w:val="0073267C"/>
    <w:rsid w:val="0073330E"/>
    <w:rsid w:val="007335F1"/>
    <w:rsid w:val="00734369"/>
    <w:rsid w:val="007343BC"/>
    <w:rsid w:val="00734B36"/>
    <w:rsid w:val="00735F7A"/>
    <w:rsid w:val="00736FAD"/>
    <w:rsid w:val="00737542"/>
    <w:rsid w:val="00740DCE"/>
    <w:rsid w:val="0074146F"/>
    <w:rsid w:val="0074280D"/>
    <w:rsid w:val="007435E1"/>
    <w:rsid w:val="007444E4"/>
    <w:rsid w:val="00744FB6"/>
    <w:rsid w:val="007453FE"/>
    <w:rsid w:val="00745521"/>
    <w:rsid w:val="0074584C"/>
    <w:rsid w:val="0074585D"/>
    <w:rsid w:val="0074598D"/>
    <w:rsid w:val="00745C74"/>
    <w:rsid w:val="00745F7C"/>
    <w:rsid w:val="00746F93"/>
    <w:rsid w:val="007474D5"/>
    <w:rsid w:val="00752607"/>
    <w:rsid w:val="007529F9"/>
    <w:rsid w:val="00755198"/>
    <w:rsid w:val="007565B5"/>
    <w:rsid w:val="00756765"/>
    <w:rsid w:val="007578A7"/>
    <w:rsid w:val="00757A87"/>
    <w:rsid w:val="00761C3B"/>
    <w:rsid w:val="00761F0E"/>
    <w:rsid w:val="00762623"/>
    <w:rsid w:val="00762CC0"/>
    <w:rsid w:val="007637A1"/>
    <w:rsid w:val="007644FF"/>
    <w:rsid w:val="007645DA"/>
    <w:rsid w:val="007647A1"/>
    <w:rsid w:val="0076495E"/>
    <w:rsid w:val="00765717"/>
    <w:rsid w:val="00765FD1"/>
    <w:rsid w:val="007661FF"/>
    <w:rsid w:val="00766CD3"/>
    <w:rsid w:val="00770661"/>
    <w:rsid w:val="00771977"/>
    <w:rsid w:val="00772056"/>
    <w:rsid w:val="0077221D"/>
    <w:rsid w:val="00773F09"/>
    <w:rsid w:val="00774AA1"/>
    <w:rsid w:val="00776C4D"/>
    <w:rsid w:val="007807A0"/>
    <w:rsid w:val="0078115D"/>
    <w:rsid w:val="00781EE8"/>
    <w:rsid w:val="00785316"/>
    <w:rsid w:val="007863FF"/>
    <w:rsid w:val="0079110C"/>
    <w:rsid w:val="00791CB8"/>
    <w:rsid w:val="00792459"/>
    <w:rsid w:val="007925C4"/>
    <w:rsid w:val="00792D85"/>
    <w:rsid w:val="0079338E"/>
    <w:rsid w:val="00793BF8"/>
    <w:rsid w:val="0079484A"/>
    <w:rsid w:val="007952FB"/>
    <w:rsid w:val="00795A17"/>
    <w:rsid w:val="007977AB"/>
    <w:rsid w:val="00797A6A"/>
    <w:rsid w:val="007A0E18"/>
    <w:rsid w:val="007A1A99"/>
    <w:rsid w:val="007A404E"/>
    <w:rsid w:val="007A4D08"/>
    <w:rsid w:val="007A6275"/>
    <w:rsid w:val="007A661C"/>
    <w:rsid w:val="007A7CD0"/>
    <w:rsid w:val="007A7EFA"/>
    <w:rsid w:val="007B0DB1"/>
    <w:rsid w:val="007B48F9"/>
    <w:rsid w:val="007B4D32"/>
    <w:rsid w:val="007B6924"/>
    <w:rsid w:val="007B77A7"/>
    <w:rsid w:val="007C0552"/>
    <w:rsid w:val="007C332F"/>
    <w:rsid w:val="007C3F6B"/>
    <w:rsid w:val="007C4066"/>
    <w:rsid w:val="007C495D"/>
    <w:rsid w:val="007C5423"/>
    <w:rsid w:val="007C6B7D"/>
    <w:rsid w:val="007C74A1"/>
    <w:rsid w:val="007D0AFD"/>
    <w:rsid w:val="007D1E03"/>
    <w:rsid w:val="007D1F22"/>
    <w:rsid w:val="007D2F8D"/>
    <w:rsid w:val="007D4E83"/>
    <w:rsid w:val="007D60C1"/>
    <w:rsid w:val="007D6BFE"/>
    <w:rsid w:val="007D7C87"/>
    <w:rsid w:val="007E0BF3"/>
    <w:rsid w:val="007E0CE3"/>
    <w:rsid w:val="007E1F81"/>
    <w:rsid w:val="007E2A32"/>
    <w:rsid w:val="007E3B2E"/>
    <w:rsid w:val="007E3C2E"/>
    <w:rsid w:val="007E3D3D"/>
    <w:rsid w:val="007E4A4A"/>
    <w:rsid w:val="007E53A8"/>
    <w:rsid w:val="007E70DE"/>
    <w:rsid w:val="007F5C23"/>
    <w:rsid w:val="007F5EAA"/>
    <w:rsid w:val="00800622"/>
    <w:rsid w:val="00800FDD"/>
    <w:rsid w:val="0080561E"/>
    <w:rsid w:val="0080704C"/>
    <w:rsid w:val="008074AD"/>
    <w:rsid w:val="00812543"/>
    <w:rsid w:val="008128C6"/>
    <w:rsid w:val="008139F1"/>
    <w:rsid w:val="0082028D"/>
    <w:rsid w:val="008209BE"/>
    <w:rsid w:val="0082109D"/>
    <w:rsid w:val="00822CCF"/>
    <w:rsid w:val="00823042"/>
    <w:rsid w:val="008238FD"/>
    <w:rsid w:val="00824C87"/>
    <w:rsid w:val="008251F7"/>
    <w:rsid w:val="00825EC5"/>
    <w:rsid w:val="00827467"/>
    <w:rsid w:val="008304DE"/>
    <w:rsid w:val="00830746"/>
    <w:rsid w:val="008309FE"/>
    <w:rsid w:val="00832A43"/>
    <w:rsid w:val="00832EB4"/>
    <w:rsid w:val="00833EC3"/>
    <w:rsid w:val="00834607"/>
    <w:rsid w:val="008348B6"/>
    <w:rsid w:val="00834B5F"/>
    <w:rsid w:val="00835772"/>
    <w:rsid w:val="00835F2D"/>
    <w:rsid w:val="00835FF7"/>
    <w:rsid w:val="008369FD"/>
    <w:rsid w:val="008371F4"/>
    <w:rsid w:val="00837FCF"/>
    <w:rsid w:val="00841A9A"/>
    <w:rsid w:val="00844546"/>
    <w:rsid w:val="008446EB"/>
    <w:rsid w:val="00847155"/>
    <w:rsid w:val="00847DE6"/>
    <w:rsid w:val="00850429"/>
    <w:rsid w:val="008514FA"/>
    <w:rsid w:val="00851E92"/>
    <w:rsid w:val="008520A5"/>
    <w:rsid w:val="00852B92"/>
    <w:rsid w:val="00854097"/>
    <w:rsid w:val="008545D6"/>
    <w:rsid w:val="00854D8D"/>
    <w:rsid w:val="008552EA"/>
    <w:rsid w:val="00856683"/>
    <w:rsid w:val="0085729F"/>
    <w:rsid w:val="00862461"/>
    <w:rsid w:val="00864F8E"/>
    <w:rsid w:val="00867230"/>
    <w:rsid w:val="00867244"/>
    <w:rsid w:val="008672FF"/>
    <w:rsid w:val="0087066F"/>
    <w:rsid w:val="0087074F"/>
    <w:rsid w:val="00870AC2"/>
    <w:rsid w:val="008711AA"/>
    <w:rsid w:val="00871685"/>
    <w:rsid w:val="00872554"/>
    <w:rsid w:val="008760F5"/>
    <w:rsid w:val="008765B9"/>
    <w:rsid w:val="00876981"/>
    <w:rsid w:val="00880DF7"/>
    <w:rsid w:val="00880FC9"/>
    <w:rsid w:val="00881293"/>
    <w:rsid w:val="00882D6C"/>
    <w:rsid w:val="00884085"/>
    <w:rsid w:val="008865EA"/>
    <w:rsid w:val="00886ECB"/>
    <w:rsid w:val="00886FA3"/>
    <w:rsid w:val="00887CCC"/>
    <w:rsid w:val="00890CE4"/>
    <w:rsid w:val="008917E9"/>
    <w:rsid w:val="0089266E"/>
    <w:rsid w:val="00893087"/>
    <w:rsid w:val="008930C0"/>
    <w:rsid w:val="008941FF"/>
    <w:rsid w:val="00895A96"/>
    <w:rsid w:val="00896C28"/>
    <w:rsid w:val="008971E6"/>
    <w:rsid w:val="00897958"/>
    <w:rsid w:val="00897D06"/>
    <w:rsid w:val="00897D5D"/>
    <w:rsid w:val="008A1EDC"/>
    <w:rsid w:val="008A3453"/>
    <w:rsid w:val="008A359E"/>
    <w:rsid w:val="008A4C19"/>
    <w:rsid w:val="008A54ED"/>
    <w:rsid w:val="008A7231"/>
    <w:rsid w:val="008A7384"/>
    <w:rsid w:val="008B073C"/>
    <w:rsid w:val="008B0FBA"/>
    <w:rsid w:val="008B19F7"/>
    <w:rsid w:val="008B3E0D"/>
    <w:rsid w:val="008B47D3"/>
    <w:rsid w:val="008B4818"/>
    <w:rsid w:val="008B65D2"/>
    <w:rsid w:val="008C03C9"/>
    <w:rsid w:val="008C0C00"/>
    <w:rsid w:val="008C277F"/>
    <w:rsid w:val="008C2C7C"/>
    <w:rsid w:val="008C3CDF"/>
    <w:rsid w:val="008C60A3"/>
    <w:rsid w:val="008C6366"/>
    <w:rsid w:val="008C6FC9"/>
    <w:rsid w:val="008C7301"/>
    <w:rsid w:val="008C732E"/>
    <w:rsid w:val="008D1369"/>
    <w:rsid w:val="008D1C2C"/>
    <w:rsid w:val="008D356D"/>
    <w:rsid w:val="008D4555"/>
    <w:rsid w:val="008D507D"/>
    <w:rsid w:val="008D5422"/>
    <w:rsid w:val="008D64C6"/>
    <w:rsid w:val="008E03BD"/>
    <w:rsid w:val="008E0BB5"/>
    <w:rsid w:val="008E1782"/>
    <w:rsid w:val="008E20AF"/>
    <w:rsid w:val="008E3622"/>
    <w:rsid w:val="008E45D4"/>
    <w:rsid w:val="008E4DEA"/>
    <w:rsid w:val="008E4E50"/>
    <w:rsid w:val="008E4E6C"/>
    <w:rsid w:val="008F162B"/>
    <w:rsid w:val="008F1B2D"/>
    <w:rsid w:val="008F338B"/>
    <w:rsid w:val="008F33D0"/>
    <w:rsid w:val="008F387A"/>
    <w:rsid w:val="008F3F7C"/>
    <w:rsid w:val="008F4B44"/>
    <w:rsid w:val="008F5211"/>
    <w:rsid w:val="008F547B"/>
    <w:rsid w:val="008F58E1"/>
    <w:rsid w:val="008F5F9C"/>
    <w:rsid w:val="008F600A"/>
    <w:rsid w:val="00901136"/>
    <w:rsid w:val="00902386"/>
    <w:rsid w:val="009031D5"/>
    <w:rsid w:val="00907072"/>
    <w:rsid w:val="009070EE"/>
    <w:rsid w:val="009105E0"/>
    <w:rsid w:val="00910A8F"/>
    <w:rsid w:val="009132CD"/>
    <w:rsid w:val="00915DDA"/>
    <w:rsid w:val="00916C9D"/>
    <w:rsid w:val="00917796"/>
    <w:rsid w:val="00917BFC"/>
    <w:rsid w:val="00921281"/>
    <w:rsid w:val="00921F28"/>
    <w:rsid w:val="00922E6C"/>
    <w:rsid w:val="009249AA"/>
    <w:rsid w:val="00924D44"/>
    <w:rsid w:val="00924D79"/>
    <w:rsid w:val="00924D7F"/>
    <w:rsid w:val="00924EA1"/>
    <w:rsid w:val="009254F9"/>
    <w:rsid w:val="00925C3E"/>
    <w:rsid w:val="00926127"/>
    <w:rsid w:val="009275BA"/>
    <w:rsid w:val="00930A0E"/>
    <w:rsid w:val="00930BFF"/>
    <w:rsid w:val="009313F1"/>
    <w:rsid w:val="00933F12"/>
    <w:rsid w:val="009348C0"/>
    <w:rsid w:val="00935001"/>
    <w:rsid w:val="0094057D"/>
    <w:rsid w:val="00940852"/>
    <w:rsid w:val="00942327"/>
    <w:rsid w:val="00942E72"/>
    <w:rsid w:val="0094356D"/>
    <w:rsid w:val="00943D25"/>
    <w:rsid w:val="009441D2"/>
    <w:rsid w:val="009446C0"/>
    <w:rsid w:val="00944F61"/>
    <w:rsid w:val="009457AA"/>
    <w:rsid w:val="00946B18"/>
    <w:rsid w:val="00950247"/>
    <w:rsid w:val="00950677"/>
    <w:rsid w:val="0095399C"/>
    <w:rsid w:val="009558BE"/>
    <w:rsid w:val="00957504"/>
    <w:rsid w:val="0095757C"/>
    <w:rsid w:val="00960E0E"/>
    <w:rsid w:val="00961814"/>
    <w:rsid w:val="0096288F"/>
    <w:rsid w:val="00962B4D"/>
    <w:rsid w:val="00962D18"/>
    <w:rsid w:val="00964459"/>
    <w:rsid w:val="0096454D"/>
    <w:rsid w:val="00965535"/>
    <w:rsid w:val="00966B8D"/>
    <w:rsid w:val="00967962"/>
    <w:rsid w:val="00970444"/>
    <w:rsid w:val="009705E4"/>
    <w:rsid w:val="009708DF"/>
    <w:rsid w:val="00970EF5"/>
    <w:rsid w:val="0097457C"/>
    <w:rsid w:val="00974D39"/>
    <w:rsid w:val="009763C5"/>
    <w:rsid w:val="00976B1D"/>
    <w:rsid w:val="009775EE"/>
    <w:rsid w:val="00980025"/>
    <w:rsid w:val="0098004D"/>
    <w:rsid w:val="00981F61"/>
    <w:rsid w:val="009833DF"/>
    <w:rsid w:val="009845D9"/>
    <w:rsid w:val="00985B2E"/>
    <w:rsid w:val="00985B8A"/>
    <w:rsid w:val="00986373"/>
    <w:rsid w:val="00986964"/>
    <w:rsid w:val="00987981"/>
    <w:rsid w:val="0099020B"/>
    <w:rsid w:val="00993B60"/>
    <w:rsid w:val="00996A69"/>
    <w:rsid w:val="0099764C"/>
    <w:rsid w:val="00997A3A"/>
    <w:rsid w:val="009A09A1"/>
    <w:rsid w:val="009A142B"/>
    <w:rsid w:val="009A1795"/>
    <w:rsid w:val="009A3B98"/>
    <w:rsid w:val="009A423B"/>
    <w:rsid w:val="009A7D54"/>
    <w:rsid w:val="009B11C5"/>
    <w:rsid w:val="009B40F1"/>
    <w:rsid w:val="009B4B26"/>
    <w:rsid w:val="009B519E"/>
    <w:rsid w:val="009B5E42"/>
    <w:rsid w:val="009B6A83"/>
    <w:rsid w:val="009C1040"/>
    <w:rsid w:val="009C1897"/>
    <w:rsid w:val="009C2DFC"/>
    <w:rsid w:val="009C46F0"/>
    <w:rsid w:val="009C7BBF"/>
    <w:rsid w:val="009C7C61"/>
    <w:rsid w:val="009D0A28"/>
    <w:rsid w:val="009D1759"/>
    <w:rsid w:val="009D1AAE"/>
    <w:rsid w:val="009D1BD3"/>
    <w:rsid w:val="009D42A5"/>
    <w:rsid w:val="009D57D8"/>
    <w:rsid w:val="009D6AF5"/>
    <w:rsid w:val="009D712E"/>
    <w:rsid w:val="009E0A09"/>
    <w:rsid w:val="009E0C26"/>
    <w:rsid w:val="009E0CF8"/>
    <w:rsid w:val="009E0E40"/>
    <w:rsid w:val="009E165B"/>
    <w:rsid w:val="009E21A1"/>
    <w:rsid w:val="009E339F"/>
    <w:rsid w:val="009E3E5B"/>
    <w:rsid w:val="009E5787"/>
    <w:rsid w:val="009E596E"/>
    <w:rsid w:val="009F0214"/>
    <w:rsid w:val="009F1066"/>
    <w:rsid w:val="009F3D90"/>
    <w:rsid w:val="009F6A8B"/>
    <w:rsid w:val="009F77A7"/>
    <w:rsid w:val="00A013EA"/>
    <w:rsid w:val="00A01AB4"/>
    <w:rsid w:val="00A02147"/>
    <w:rsid w:val="00A021A7"/>
    <w:rsid w:val="00A023C1"/>
    <w:rsid w:val="00A02C55"/>
    <w:rsid w:val="00A03B62"/>
    <w:rsid w:val="00A03BF5"/>
    <w:rsid w:val="00A03F37"/>
    <w:rsid w:val="00A045BF"/>
    <w:rsid w:val="00A04F48"/>
    <w:rsid w:val="00A05461"/>
    <w:rsid w:val="00A06595"/>
    <w:rsid w:val="00A06CBD"/>
    <w:rsid w:val="00A073EA"/>
    <w:rsid w:val="00A10A6B"/>
    <w:rsid w:val="00A12A57"/>
    <w:rsid w:val="00A1369D"/>
    <w:rsid w:val="00A14B40"/>
    <w:rsid w:val="00A14B49"/>
    <w:rsid w:val="00A14E1B"/>
    <w:rsid w:val="00A14FD0"/>
    <w:rsid w:val="00A156A8"/>
    <w:rsid w:val="00A210ED"/>
    <w:rsid w:val="00A27C15"/>
    <w:rsid w:val="00A315AB"/>
    <w:rsid w:val="00A31ECC"/>
    <w:rsid w:val="00A32064"/>
    <w:rsid w:val="00A338AB"/>
    <w:rsid w:val="00A338F1"/>
    <w:rsid w:val="00A33FE3"/>
    <w:rsid w:val="00A34760"/>
    <w:rsid w:val="00A35C98"/>
    <w:rsid w:val="00A35EE5"/>
    <w:rsid w:val="00A3609D"/>
    <w:rsid w:val="00A36667"/>
    <w:rsid w:val="00A37759"/>
    <w:rsid w:val="00A40668"/>
    <w:rsid w:val="00A409A2"/>
    <w:rsid w:val="00A41B01"/>
    <w:rsid w:val="00A42BB3"/>
    <w:rsid w:val="00A43FEA"/>
    <w:rsid w:val="00A44695"/>
    <w:rsid w:val="00A44A2B"/>
    <w:rsid w:val="00A458B9"/>
    <w:rsid w:val="00A46B82"/>
    <w:rsid w:val="00A46F68"/>
    <w:rsid w:val="00A5088B"/>
    <w:rsid w:val="00A53AA7"/>
    <w:rsid w:val="00A53F0F"/>
    <w:rsid w:val="00A54A09"/>
    <w:rsid w:val="00A5502B"/>
    <w:rsid w:val="00A55131"/>
    <w:rsid w:val="00A5654F"/>
    <w:rsid w:val="00A5739B"/>
    <w:rsid w:val="00A577C9"/>
    <w:rsid w:val="00A61317"/>
    <w:rsid w:val="00A6179B"/>
    <w:rsid w:val="00A62022"/>
    <w:rsid w:val="00A623F2"/>
    <w:rsid w:val="00A63AA5"/>
    <w:rsid w:val="00A64382"/>
    <w:rsid w:val="00A64D58"/>
    <w:rsid w:val="00A65982"/>
    <w:rsid w:val="00A664CD"/>
    <w:rsid w:val="00A66EA8"/>
    <w:rsid w:val="00A67199"/>
    <w:rsid w:val="00A7131A"/>
    <w:rsid w:val="00A7207C"/>
    <w:rsid w:val="00A72A22"/>
    <w:rsid w:val="00A757E5"/>
    <w:rsid w:val="00A75A6E"/>
    <w:rsid w:val="00A76456"/>
    <w:rsid w:val="00A76AF7"/>
    <w:rsid w:val="00A80595"/>
    <w:rsid w:val="00A80CBE"/>
    <w:rsid w:val="00A8111C"/>
    <w:rsid w:val="00A81653"/>
    <w:rsid w:val="00A84202"/>
    <w:rsid w:val="00A86271"/>
    <w:rsid w:val="00A90377"/>
    <w:rsid w:val="00A90432"/>
    <w:rsid w:val="00A926F6"/>
    <w:rsid w:val="00A934C7"/>
    <w:rsid w:val="00A93C25"/>
    <w:rsid w:val="00AA06CF"/>
    <w:rsid w:val="00AA0938"/>
    <w:rsid w:val="00AA13F1"/>
    <w:rsid w:val="00AA2157"/>
    <w:rsid w:val="00AA2FE1"/>
    <w:rsid w:val="00AA4421"/>
    <w:rsid w:val="00AA453D"/>
    <w:rsid w:val="00AA4A08"/>
    <w:rsid w:val="00AA5D98"/>
    <w:rsid w:val="00AA6957"/>
    <w:rsid w:val="00AA785F"/>
    <w:rsid w:val="00AA7B4E"/>
    <w:rsid w:val="00AB0420"/>
    <w:rsid w:val="00AB0438"/>
    <w:rsid w:val="00AB0A90"/>
    <w:rsid w:val="00AB0ADB"/>
    <w:rsid w:val="00AB315E"/>
    <w:rsid w:val="00AB31B3"/>
    <w:rsid w:val="00AB3D66"/>
    <w:rsid w:val="00AB3FA6"/>
    <w:rsid w:val="00AB3FE0"/>
    <w:rsid w:val="00AB4832"/>
    <w:rsid w:val="00AB5E56"/>
    <w:rsid w:val="00AB60AE"/>
    <w:rsid w:val="00AB772B"/>
    <w:rsid w:val="00AC03EA"/>
    <w:rsid w:val="00AC1344"/>
    <w:rsid w:val="00AC22B1"/>
    <w:rsid w:val="00AC2753"/>
    <w:rsid w:val="00AC35C7"/>
    <w:rsid w:val="00AC3994"/>
    <w:rsid w:val="00AC4B1B"/>
    <w:rsid w:val="00AC52EC"/>
    <w:rsid w:val="00AC5437"/>
    <w:rsid w:val="00AC5C2A"/>
    <w:rsid w:val="00AC6134"/>
    <w:rsid w:val="00AC75D1"/>
    <w:rsid w:val="00AC7B8B"/>
    <w:rsid w:val="00AD3794"/>
    <w:rsid w:val="00AD5989"/>
    <w:rsid w:val="00AD69D9"/>
    <w:rsid w:val="00AD7913"/>
    <w:rsid w:val="00AD7DEA"/>
    <w:rsid w:val="00AE03D8"/>
    <w:rsid w:val="00AE047F"/>
    <w:rsid w:val="00AE157E"/>
    <w:rsid w:val="00AE31DB"/>
    <w:rsid w:val="00AE6EED"/>
    <w:rsid w:val="00AE7767"/>
    <w:rsid w:val="00AE77D4"/>
    <w:rsid w:val="00AF12BA"/>
    <w:rsid w:val="00AF1AC9"/>
    <w:rsid w:val="00AF2008"/>
    <w:rsid w:val="00AF22CB"/>
    <w:rsid w:val="00AF2517"/>
    <w:rsid w:val="00AF284C"/>
    <w:rsid w:val="00AF7497"/>
    <w:rsid w:val="00AF74AA"/>
    <w:rsid w:val="00AF7D56"/>
    <w:rsid w:val="00B00DAB"/>
    <w:rsid w:val="00B01E3B"/>
    <w:rsid w:val="00B02880"/>
    <w:rsid w:val="00B035B5"/>
    <w:rsid w:val="00B0390D"/>
    <w:rsid w:val="00B039CB"/>
    <w:rsid w:val="00B047BD"/>
    <w:rsid w:val="00B04E9C"/>
    <w:rsid w:val="00B051CF"/>
    <w:rsid w:val="00B05DF5"/>
    <w:rsid w:val="00B107AA"/>
    <w:rsid w:val="00B10C82"/>
    <w:rsid w:val="00B10DE3"/>
    <w:rsid w:val="00B1118E"/>
    <w:rsid w:val="00B135F6"/>
    <w:rsid w:val="00B15F22"/>
    <w:rsid w:val="00B17243"/>
    <w:rsid w:val="00B17B33"/>
    <w:rsid w:val="00B217BC"/>
    <w:rsid w:val="00B21CCF"/>
    <w:rsid w:val="00B237AD"/>
    <w:rsid w:val="00B23B90"/>
    <w:rsid w:val="00B23E56"/>
    <w:rsid w:val="00B2404E"/>
    <w:rsid w:val="00B26485"/>
    <w:rsid w:val="00B264ED"/>
    <w:rsid w:val="00B30131"/>
    <w:rsid w:val="00B3299A"/>
    <w:rsid w:val="00B337C3"/>
    <w:rsid w:val="00B36E3F"/>
    <w:rsid w:val="00B371F8"/>
    <w:rsid w:val="00B3744B"/>
    <w:rsid w:val="00B40E13"/>
    <w:rsid w:val="00B4159B"/>
    <w:rsid w:val="00B41BF5"/>
    <w:rsid w:val="00B41CD4"/>
    <w:rsid w:val="00B42F85"/>
    <w:rsid w:val="00B44064"/>
    <w:rsid w:val="00B4543E"/>
    <w:rsid w:val="00B45D4D"/>
    <w:rsid w:val="00B464D4"/>
    <w:rsid w:val="00B47D7F"/>
    <w:rsid w:val="00B500B1"/>
    <w:rsid w:val="00B501AC"/>
    <w:rsid w:val="00B502EF"/>
    <w:rsid w:val="00B50E15"/>
    <w:rsid w:val="00B512FA"/>
    <w:rsid w:val="00B53847"/>
    <w:rsid w:val="00B55683"/>
    <w:rsid w:val="00B5788A"/>
    <w:rsid w:val="00B57DB9"/>
    <w:rsid w:val="00B60E4B"/>
    <w:rsid w:val="00B60FAA"/>
    <w:rsid w:val="00B63529"/>
    <w:rsid w:val="00B639FF"/>
    <w:rsid w:val="00B64601"/>
    <w:rsid w:val="00B64C6C"/>
    <w:rsid w:val="00B65E98"/>
    <w:rsid w:val="00B67142"/>
    <w:rsid w:val="00B70047"/>
    <w:rsid w:val="00B71489"/>
    <w:rsid w:val="00B72E7D"/>
    <w:rsid w:val="00B77360"/>
    <w:rsid w:val="00B80377"/>
    <w:rsid w:val="00B80FC7"/>
    <w:rsid w:val="00B817C2"/>
    <w:rsid w:val="00B82002"/>
    <w:rsid w:val="00B8215C"/>
    <w:rsid w:val="00B82318"/>
    <w:rsid w:val="00B829A3"/>
    <w:rsid w:val="00B82B86"/>
    <w:rsid w:val="00B8488D"/>
    <w:rsid w:val="00B863F9"/>
    <w:rsid w:val="00B86A09"/>
    <w:rsid w:val="00B86B0F"/>
    <w:rsid w:val="00B91BB8"/>
    <w:rsid w:val="00B94A14"/>
    <w:rsid w:val="00B94AE6"/>
    <w:rsid w:val="00B94B57"/>
    <w:rsid w:val="00B95934"/>
    <w:rsid w:val="00B95B92"/>
    <w:rsid w:val="00B95F2D"/>
    <w:rsid w:val="00B960CA"/>
    <w:rsid w:val="00B97E38"/>
    <w:rsid w:val="00BA13B0"/>
    <w:rsid w:val="00BA1F54"/>
    <w:rsid w:val="00BA2110"/>
    <w:rsid w:val="00BA2A6C"/>
    <w:rsid w:val="00BA2CF3"/>
    <w:rsid w:val="00BA3291"/>
    <w:rsid w:val="00BA3813"/>
    <w:rsid w:val="00BA66B0"/>
    <w:rsid w:val="00BA7B4E"/>
    <w:rsid w:val="00BB023D"/>
    <w:rsid w:val="00BB1710"/>
    <w:rsid w:val="00BB261A"/>
    <w:rsid w:val="00BB2809"/>
    <w:rsid w:val="00BB4274"/>
    <w:rsid w:val="00BB4B20"/>
    <w:rsid w:val="00BB7541"/>
    <w:rsid w:val="00BB7EB6"/>
    <w:rsid w:val="00BC056B"/>
    <w:rsid w:val="00BC186A"/>
    <w:rsid w:val="00BC289D"/>
    <w:rsid w:val="00BC2B88"/>
    <w:rsid w:val="00BC3301"/>
    <w:rsid w:val="00BC3BD9"/>
    <w:rsid w:val="00BC3DF1"/>
    <w:rsid w:val="00BC4783"/>
    <w:rsid w:val="00BC5904"/>
    <w:rsid w:val="00BC5D16"/>
    <w:rsid w:val="00BC6D9B"/>
    <w:rsid w:val="00BD057E"/>
    <w:rsid w:val="00BD20BB"/>
    <w:rsid w:val="00BD3BDE"/>
    <w:rsid w:val="00BD3F06"/>
    <w:rsid w:val="00BD6504"/>
    <w:rsid w:val="00BD6604"/>
    <w:rsid w:val="00BE1264"/>
    <w:rsid w:val="00BE2205"/>
    <w:rsid w:val="00BE241A"/>
    <w:rsid w:val="00BE46B0"/>
    <w:rsid w:val="00BE5212"/>
    <w:rsid w:val="00BE624F"/>
    <w:rsid w:val="00BE74F0"/>
    <w:rsid w:val="00BF00F2"/>
    <w:rsid w:val="00BF0ED7"/>
    <w:rsid w:val="00BF1105"/>
    <w:rsid w:val="00BF376C"/>
    <w:rsid w:val="00BF51FD"/>
    <w:rsid w:val="00BF5CAC"/>
    <w:rsid w:val="00BF67D8"/>
    <w:rsid w:val="00C0126E"/>
    <w:rsid w:val="00C01BF3"/>
    <w:rsid w:val="00C02433"/>
    <w:rsid w:val="00C02BD5"/>
    <w:rsid w:val="00C02E0C"/>
    <w:rsid w:val="00C04351"/>
    <w:rsid w:val="00C048EC"/>
    <w:rsid w:val="00C04E80"/>
    <w:rsid w:val="00C120DE"/>
    <w:rsid w:val="00C13A5B"/>
    <w:rsid w:val="00C15738"/>
    <w:rsid w:val="00C16C74"/>
    <w:rsid w:val="00C2071C"/>
    <w:rsid w:val="00C209C3"/>
    <w:rsid w:val="00C20EC1"/>
    <w:rsid w:val="00C2251B"/>
    <w:rsid w:val="00C2375E"/>
    <w:rsid w:val="00C24238"/>
    <w:rsid w:val="00C25F37"/>
    <w:rsid w:val="00C266CC"/>
    <w:rsid w:val="00C26F2A"/>
    <w:rsid w:val="00C27485"/>
    <w:rsid w:val="00C27DDE"/>
    <w:rsid w:val="00C305B2"/>
    <w:rsid w:val="00C329C0"/>
    <w:rsid w:val="00C32DD9"/>
    <w:rsid w:val="00C33229"/>
    <w:rsid w:val="00C3387E"/>
    <w:rsid w:val="00C352CB"/>
    <w:rsid w:val="00C3560F"/>
    <w:rsid w:val="00C36005"/>
    <w:rsid w:val="00C3638D"/>
    <w:rsid w:val="00C37061"/>
    <w:rsid w:val="00C37423"/>
    <w:rsid w:val="00C404D2"/>
    <w:rsid w:val="00C426C8"/>
    <w:rsid w:val="00C433A1"/>
    <w:rsid w:val="00C447A4"/>
    <w:rsid w:val="00C44A63"/>
    <w:rsid w:val="00C459CB"/>
    <w:rsid w:val="00C477A7"/>
    <w:rsid w:val="00C47FEF"/>
    <w:rsid w:val="00C53596"/>
    <w:rsid w:val="00C53FCB"/>
    <w:rsid w:val="00C54506"/>
    <w:rsid w:val="00C54E6E"/>
    <w:rsid w:val="00C552E5"/>
    <w:rsid w:val="00C557F9"/>
    <w:rsid w:val="00C55C3A"/>
    <w:rsid w:val="00C56159"/>
    <w:rsid w:val="00C56324"/>
    <w:rsid w:val="00C56FC5"/>
    <w:rsid w:val="00C57705"/>
    <w:rsid w:val="00C6283A"/>
    <w:rsid w:val="00C63417"/>
    <w:rsid w:val="00C63A8B"/>
    <w:rsid w:val="00C64B31"/>
    <w:rsid w:val="00C66423"/>
    <w:rsid w:val="00C67AF1"/>
    <w:rsid w:val="00C7015E"/>
    <w:rsid w:val="00C704C9"/>
    <w:rsid w:val="00C70E85"/>
    <w:rsid w:val="00C72F0A"/>
    <w:rsid w:val="00C73218"/>
    <w:rsid w:val="00C73432"/>
    <w:rsid w:val="00C75FE8"/>
    <w:rsid w:val="00C76538"/>
    <w:rsid w:val="00C77FC8"/>
    <w:rsid w:val="00C8259E"/>
    <w:rsid w:val="00C836A5"/>
    <w:rsid w:val="00C83CD8"/>
    <w:rsid w:val="00C8438D"/>
    <w:rsid w:val="00C84C10"/>
    <w:rsid w:val="00C84DEC"/>
    <w:rsid w:val="00C84E71"/>
    <w:rsid w:val="00C85310"/>
    <w:rsid w:val="00C85D96"/>
    <w:rsid w:val="00C85E1A"/>
    <w:rsid w:val="00C85E93"/>
    <w:rsid w:val="00C90D16"/>
    <w:rsid w:val="00C91181"/>
    <w:rsid w:val="00C9320E"/>
    <w:rsid w:val="00C938E5"/>
    <w:rsid w:val="00C94AF7"/>
    <w:rsid w:val="00C9548E"/>
    <w:rsid w:val="00C95689"/>
    <w:rsid w:val="00C96F52"/>
    <w:rsid w:val="00C97F8D"/>
    <w:rsid w:val="00CA0E3E"/>
    <w:rsid w:val="00CA1EE8"/>
    <w:rsid w:val="00CA29CC"/>
    <w:rsid w:val="00CA302F"/>
    <w:rsid w:val="00CA3A53"/>
    <w:rsid w:val="00CA4926"/>
    <w:rsid w:val="00CA4966"/>
    <w:rsid w:val="00CA6069"/>
    <w:rsid w:val="00CB0B6E"/>
    <w:rsid w:val="00CB13E3"/>
    <w:rsid w:val="00CB34D4"/>
    <w:rsid w:val="00CB6695"/>
    <w:rsid w:val="00CC06D6"/>
    <w:rsid w:val="00CC0D15"/>
    <w:rsid w:val="00CC1206"/>
    <w:rsid w:val="00CC298A"/>
    <w:rsid w:val="00CC35FB"/>
    <w:rsid w:val="00CC57C2"/>
    <w:rsid w:val="00CC5A34"/>
    <w:rsid w:val="00CC5E0C"/>
    <w:rsid w:val="00CC5E8C"/>
    <w:rsid w:val="00CC6844"/>
    <w:rsid w:val="00CC7A49"/>
    <w:rsid w:val="00CC7AAF"/>
    <w:rsid w:val="00CD07F6"/>
    <w:rsid w:val="00CD13D4"/>
    <w:rsid w:val="00CD36C3"/>
    <w:rsid w:val="00CD372E"/>
    <w:rsid w:val="00CD3A68"/>
    <w:rsid w:val="00CD3CC2"/>
    <w:rsid w:val="00CD5368"/>
    <w:rsid w:val="00CD5FB1"/>
    <w:rsid w:val="00CD62A2"/>
    <w:rsid w:val="00CD6941"/>
    <w:rsid w:val="00CD6C77"/>
    <w:rsid w:val="00CE0E14"/>
    <w:rsid w:val="00CE0ECA"/>
    <w:rsid w:val="00CE5457"/>
    <w:rsid w:val="00CE54B2"/>
    <w:rsid w:val="00CE66EC"/>
    <w:rsid w:val="00CE7A52"/>
    <w:rsid w:val="00CF04B8"/>
    <w:rsid w:val="00CF095A"/>
    <w:rsid w:val="00CF181C"/>
    <w:rsid w:val="00CF2194"/>
    <w:rsid w:val="00CF2ABD"/>
    <w:rsid w:val="00CF3636"/>
    <w:rsid w:val="00CF4144"/>
    <w:rsid w:val="00CF5FC7"/>
    <w:rsid w:val="00CF68F8"/>
    <w:rsid w:val="00D01C71"/>
    <w:rsid w:val="00D030F0"/>
    <w:rsid w:val="00D03315"/>
    <w:rsid w:val="00D03776"/>
    <w:rsid w:val="00D03903"/>
    <w:rsid w:val="00D05FA5"/>
    <w:rsid w:val="00D06B64"/>
    <w:rsid w:val="00D13658"/>
    <w:rsid w:val="00D142D1"/>
    <w:rsid w:val="00D1462D"/>
    <w:rsid w:val="00D14DCA"/>
    <w:rsid w:val="00D15097"/>
    <w:rsid w:val="00D1534B"/>
    <w:rsid w:val="00D163AE"/>
    <w:rsid w:val="00D16B82"/>
    <w:rsid w:val="00D21BCB"/>
    <w:rsid w:val="00D22A11"/>
    <w:rsid w:val="00D22B7A"/>
    <w:rsid w:val="00D22E32"/>
    <w:rsid w:val="00D22FAD"/>
    <w:rsid w:val="00D24C40"/>
    <w:rsid w:val="00D251A5"/>
    <w:rsid w:val="00D26388"/>
    <w:rsid w:val="00D27FA4"/>
    <w:rsid w:val="00D306DE"/>
    <w:rsid w:val="00D30CCA"/>
    <w:rsid w:val="00D31ABE"/>
    <w:rsid w:val="00D32677"/>
    <w:rsid w:val="00D32CD0"/>
    <w:rsid w:val="00D32D97"/>
    <w:rsid w:val="00D330CA"/>
    <w:rsid w:val="00D345B5"/>
    <w:rsid w:val="00D34771"/>
    <w:rsid w:val="00D34ADB"/>
    <w:rsid w:val="00D34CB8"/>
    <w:rsid w:val="00D354DA"/>
    <w:rsid w:val="00D36600"/>
    <w:rsid w:val="00D400B0"/>
    <w:rsid w:val="00D40BDB"/>
    <w:rsid w:val="00D41414"/>
    <w:rsid w:val="00D43951"/>
    <w:rsid w:val="00D43F1D"/>
    <w:rsid w:val="00D445D8"/>
    <w:rsid w:val="00D456A6"/>
    <w:rsid w:val="00D463E5"/>
    <w:rsid w:val="00D47029"/>
    <w:rsid w:val="00D51EB4"/>
    <w:rsid w:val="00D53204"/>
    <w:rsid w:val="00D546F0"/>
    <w:rsid w:val="00D55351"/>
    <w:rsid w:val="00D606B3"/>
    <w:rsid w:val="00D60D4D"/>
    <w:rsid w:val="00D613CD"/>
    <w:rsid w:val="00D6217D"/>
    <w:rsid w:val="00D634AD"/>
    <w:rsid w:val="00D63DB1"/>
    <w:rsid w:val="00D65F28"/>
    <w:rsid w:val="00D7153F"/>
    <w:rsid w:val="00D73502"/>
    <w:rsid w:val="00D73517"/>
    <w:rsid w:val="00D74C2A"/>
    <w:rsid w:val="00D77BBE"/>
    <w:rsid w:val="00D8035F"/>
    <w:rsid w:val="00D80A13"/>
    <w:rsid w:val="00D81D45"/>
    <w:rsid w:val="00D82E1E"/>
    <w:rsid w:val="00D831D7"/>
    <w:rsid w:val="00D85417"/>
    <w:rsid w:val="00D85886"/>
    <w:rsid w:val="00D87535"/>
    <w:rsid w:val="00D875B4"/>
    <w:rsid w:val="00D90A61"/>
    <w:rsid w:val="00D9177B"/>
    <w:rsid w:val="00D92C3C"/>
    <w:rsid w:val="00D94717"/>
    <w:rsid w:val="00D966E7"/>
    <w:rsid w:val="00DA0594"/>
    <w:rsid w:val="00DA11CC"/>
    <w:rsid w:val="00DA208E"/>
    <w:rsid w:val="00DA5D89"/>
    <w:rsid w:val="00DA65DE"/>
    <w:rsid w:val="00DA6694"/>
    <w:rsid w:val="00DA797F"/>
    <w:rsid w:val="00DA7EDA"/>
    <w:rsid w:val="00DB0F3E"/>
    <w:rsid w:val="00DB1185"/>
    <w:rsid w:val="00DB3647"/>
    <w:rsid w:val="00DB37FC"/>
    <w:rsid w:val="00DB4D45"/>
    <w:rsid w:val="00DB531B"/>
    <w:rsid w:val="00DB6158"/>
    <w:rsid w:val="00DC0670"/>
    <w:rsid w:val="00DC1D24"/>
    <w:rsid w:val="00DC3024"/>
    <w:rsid w:val="00DC31CF"/>
    <w:rsid w:val="00DC3315"/>
    <w:rsid w:val="00DC737B"/>
    <w:rsid w:val="00DC7864"/>
    <w:rsid w:val="00DC7F80"/>
    <w:rsid w:val="00DD2A2D"/>
    <w:rsid w:val="00DD4000"/>
    <w:rsid w:val="00DD76F4"/>
    <w:rsid w:val="00DE0034"/>
    <w:rsid w:val="00DE08A9"/>
    <w:rsid w:val="00DE0D3D"/>
    <w:rsid w:val="00DE194C"/>
    <w:rsid w:val="00DE1A17"/>
    <w:rsid w:val="00DE38C3"/>
    <w:rsid w:val="00DE4A3C"/>
    <w:rsid w:val="00DE6C12"/>
    <w:rsid w:val="00DE7E3A"/>
    <w:rsid w:val="00DF034A"/>
    <w:rsid w:val="00DF05E7"/>
    <w:rsid w:val="00DF0D23"/>
    <w:rsid w:val="00DF0E43"/>
    <w:rsid w:val="00DF1309"/>
    <w:rsid w:val="00DF1DBE"/>
    <w:rsid w:val="00DF2047"/>
    <w:rsid w:val="00DF3460"/>
    <w:rsid w:val="00DF3A2C"/>
    <w:rsid w:val="00DF3FE1"/>
    <w:rsid w:val="00DF4101"/>
    <w:rsid w:val="00DF48A9"/>
    <w:rsid w:val="00DF50CE"/>
    <w:rsid w:val="00DF59F7"/>
    <w:rsid w:val="00DF5ECF"/>
    <w:rsid w:val="00DF6432"/>
    <w:rsid w:val="00DF6843"/>
    <w:rsid w:val="00E00455"/>
    <w:rsid w:val="00E0072F"/>
    <w:rsid w:val="00E00A05"/>
    <w:rsid w:val="00E03522"/>
    <w:rsid w:val="00E053D9"/>
    <w:rsid w:val="00E060CF"/>
    <w:rsid w:val="00E061E1"/>
    <w:rsid w:val="00E07185"/>
    <w:rsid w:val="00E0774C"/>
    <w:rsid w:val="00E079EC"/>
    <w:rsid w:val="00E101C5"/>
    <w:rsid w:val="00E116D5"/>
    <w:rsid w:val="00E12123"/>
    <w:rsid w:val="00E12999"/>
    <w:rsid w:val="00E13F9B"/>
    <w:rsid w:val="00E14226"/>
    <w:rsid w:val="00E14908"/>
    <w:rsid w:val="00E16777"/>
    <w:rsid w:val="00E1693A"/>
    <w:rsid w:val="00E226EE"/>
    <w:rsid w:val="00E2310F"/>
    <w:rsid w:val="00E2485E"/>
    <w:rsid w:val="00E2514B"/>
    <w:rsid w:val="00E258A9"/>
    <w:rsid w:val="00E25D9B"/>
    <w:rsid w:val="00E2611A"/>
    <w:rsid w:val="00E26A10"/>
    <w:rsid w:val="00E276FE"/>
    <w:rsid w:val="00E27A41"/>
    <w:rsid w:val="00E316D3"/>
    <w:rsid w:val="00E329AE"/>
    <w:rsid w:val="00E3327C"/>
    <w:rsid w:val="00E33607"/>
    <w:rsid w:val="00E33A4C"/>
    <w:rsid w:val="00E33A66"/>
    <w:rsid w:val="00E346AF"/>
    <w:rsid w:val="00E347CD"/>
    <w:rsid w:val="00E34A95"/>
    <w:rsid w:val="00E34EBF"/>
    <w:rsid w:val="00E35AD7"/>
    <w:rsid w:val="00E36664"/>
    <w:rsid w:val="00E366BE"/>
    <w:rsid w:val="00E3790B"/>
    <w:rsid w:val="00E413DC"/>
    <w:rsid w:val="00E41CC3"/>
    <w:rsid w:val="00E41D24"/>
    <w:rsid w:val="00E4205C"/>
    <w:rsid w:val="00E4390B"/>
    <w:rsid w:val="00E45641"/>
    <w:rsid w:val="00E47498"/>
    <w:rsid w:val="00E509C5"/>
    <w:rsid w:val="00E50E1E"/>
    <w:rsid w:val="00E516B3"/>
    <w:rsid w:val="00E52D4A"/>
    <w:rsid w:val="00E54535"/>
    <w:rsid w:val="00E5586E"/>
    <w:rsid w:val="00E55DAB"/>
    <w:rsid w:val="00E57BF9"/>
    <w:rsid w:val="00E6115A"/>
    <w:rsid w:val="00E6160E"/>
    <w:rsid w:val="00E634E7"/>
    <w:rsid w:val="00E642A2"/>
    <w:rsid w:val="00E6577D"/>
    <w:rsid w:val="00E704AA"/>
    <w:rsid w:val="00E7135D"/>
    <w:rsid w:val="00E71A21"/>
    <w:rsid w:val="00E72CA5"/>
    <w:rsid w:val="00E7457C"/>
    <w:rsid w:val="00E7463B"/>
    <w:rsid w:val="00E74CF5"/>
    <w:rsid w:val="00E74EBC"/>
    <w:rsid w:val="00E751C8"/>
    <w:rsid w:val="00E801A9"/>
    <w:rsid w:val="00E81058"/>
    <w:rsid w:val="00E81477"/>
    <w:rsid w:val="00E82008"/>
    <w:rsid w:val="00E8233E"/>
    <w:rsid w:val="00E8303B"/>
    <w:rsid w:val="00E831AE"/>
    <w:rsid w:val="00E83440"/>
    <w:rsid w:val="00E84E54"/>
    <w:rsid w:val="00E84F7B"/>
    <w:rsid w:val="00E856B4"/>
    <w:rsid w:val="00E8592E"/>
    <w:rsid w:val="00E85AF8"/>
    <w:rsid w:val="00E875E4"/>
    <w:rsid w:val="00E87A7F"/>
    <w:rsid w:val="00E90440"/>
    <w:rsid w:val="00E90985"/>
    <w:rsid w:val="00E9098E"/>
    <w:rsid w:val="00E91AEE"/>
    <w:rsid w:val="00E91EB7"/>
    <w:rsid w:val="00E939D0"/>
    <w:rsid w:val="00E94A60"/>
    <w:rsid w:val="00EA16F1"/>
    <w:rsid w:val="00EA2D5D"/>
    <w:rsid w:val="00EA3F7E"/>
    <w:rsid w:val="00EA4910"/>
    <w:rsid w:val="00EA79FB"/>
    <w:rsid w:val="00EB086E"/>
    <w:rsid w:val="00EB115E"/>
    <w:rsid w:val="00EB1713"/>
    <w:rsid w:val="00EB2D65"/>
    <w:rsid w:val="00EB2EEB"/>
    <w:rsid w:val="00EB3088"/>
    <w:rsid w:val="00EB3C16"/>
    <w:rsid w:val="00EB484B"/>
    <w:rsid w:val="00EB65FF"/>
    <w:rsid w:val="00EB6B25"/>
    <w:rsid w:val="00EC1C98"/>
    <w:rsid w:val="00EC1E8F"/>
    <w:rsid w:val="00EC2DFB"/>
    <w:rsid w:val="00EC3569"/>
    <w:rsid w:val="00EC4A96"/>
    <w:rsid w:val="00EC5732"/>
    <w:rsid w:val="00EC6AA1"/>
    <w:rsid w:val="00ED03F0"/>
    <w:rsid w:val="00ED23C3"/>
    <w:rsid w:val="00ED2C34"/>
    <w:rsid w:val="00ED3FE4"/>
    <w:rsid w:val="00ED691E"/>
    <w:rsid w:val="00EE19ED"/>
    <w:rsid w:val="00EE1BFF"/>
    <w:rsid w:val="00EE35E2"/>
    <w:rsid w:val="00EE4D36"/>
    <w:rsid w:val="00EE5FA5"/>
    <w:rsid w:val="00EE7EEC"/>
    <w:rsid w:val="00EF0311"/>
    <w:rsid w:val="00EF3F42"/>
    <w:rsid w:val="00EF6AF6"/>
    <w:rsid w:val="00EF6B35"/>
    <w:rsid w:val="00F00268"/>
    <w:rsid w:val="00F00E06"/>
    <w:rsid w:val="00F01B55"/>
    <w:rsid w:val="00F03399"/>
    <w:rsid w:val="00F04FE1"/>
    <w:rsid w:val="00F05617"/>
    <w:rsid w:val="00F05697"/>
    <w:rsid w:val="00F063EF"/>
    <w:rsid w:val="00F07A5B"/>
    <w:rsid w:val="00F07ADE"/>
    <w:rsid w:val="00F10428"/>
    <w:rsid w:val="00F1274F"/>
    <w:rsid w:val="00F12E68"/>
    <w:rsid w:val="00F13781"/>
    <w:rsid w:val="00F15102"/>
    <w:rsid w:val="00F155D3"/>
    <w:rsid w:val="00F16C22"/>
    <w:rsid w:val="00F20BB4"/>
    <w:rsid w:val="00F2109D"/>
    <w:rsid w:val="00F234AD"/>
    <w:rsid w:val="00F267A8"/>
    <w:rsid w:val="00F2702F"/>
    <w:rsid w:val="00F270B6"/>
    <w:rsid w:val="00F27411"/>
    <w:rsid w:val="00F30A9D"/>
    <w:rsid w:val="00F324E0"/>
    <w:rsid w:val="00F32E8C"/>
    <w:rsid w:val="00F3317E"/>
    <w:rsid w:val="00F34D28"/>
    <w:rsid w:val="00F34EF2"/>
    <w:rsid w:val="00F35621"/>
    <w:rsid w:val="00F356E2"/>
    <w:rsid w:val="00F36AC8"/>
    <w:rsid w:val="00F37C18"/>
    <w:rsid w:val="00F4014D"/>
    <w:rsid w:val="00F40360"/>
    <w:rsid w:val="00F405F5"/>
    <w:rsid w:val="00F40901"/>
    <w:rsid w:val="00F40E67"/>
    <w:rsid w:val="00F416D0"/>
    <w:rsid w:val="00F417A6"/>
    <w:rsid w:val="00F44A49"/>
    <w:rsid w:val="00F468BF"/>
    <w:rsid w:val="00F51103"/>
    <w:rsid w:val="00F521CA"/>
    <w:rsid w:val="00F528D9"/>
    <w:rsid w:val="00F52F12"/>
    <w:rsid w:val="00F53A69"/>
    <w:rsid w:val="00F5576B"/>
    <w:rsid w:val="00F625CD"/>
    <w:rsid w:val="00F6263C"/>
    <w:rsid w:val="00F6365C"/>
    <w:rsid w:val="00F6429F"/>
    <w:rsid w:val="00F649B1"/>
    <w:rsid w:val="00F658AE"/>
    <w:rsid w:val="00F66D2A"/>
    <w:rsid w:val="00F6736B"/>
    <w:rsid w:val="00F6746A"/>
    <w:rsid w:val="00F70810"/>
    <w:rsid w:val="00F72985"/>
    <w:rsid w:val="00F73993"/>
    <w:rsid w:val="00F7563E"/>
    <w:rsid w:val="00F76E15"/>
    <w:rsid w:val="00F77667"/>
    <w:rsid w:val="00F77BFE"/>
    <w:rsid w:val="00F8053E"/>
    <w:rsid w:val="00F814AB"/>
    <w:rsid w:val="00F82756"/>
    <w:rsid w:val="00F82A6B"/>
    <w:rsid w:val="00F83263"/>
    <w:rsid w:val="00F83444"/>
    <w:rsid w:val="00F8366D"/>
    <w:rsid w:val="00F849F6"/>
    <w:rsid w:val="00F8534C"/>
    <w:rsid w:val="00F85830"/>
    <w:rsid w:val="00F85EF8"/>
    <w:rsid w:val="00F85F85"/>
    <w:rsid w:val="00F872ED"/>
    <w:rsid w:val="00F92535"/>
    <w:rsid w:val="00F927CB"/>
    <w:rsid w:val="00F92836"/>
    <w:rsid w:val="00F92972"/>
    <w:rsid w:val="00F92A2B"/>
    <w:rsid w:val="00F93DF1"/>
    <w:rsid w:val="00F93E28"/>
    <w:rsid w:val="00F94D59"/>
    <w:rsid w:val="00F96199"/>
    <w:rsid w:val="00F965DD"/>
    <w:rsid w:val="00F967D2"/>
    <w:rsid w:val="00FA0156"/>
    <w:rsid w:val="00FA04B2"/>
    <w:rsid w:val="00FA1E33"/>
    <w:rsid w:val="00FA1F62"/>
    <w:rsid w:val="00FA2BD4"/>
    <w:rsid w:val="00FA35C6"/>
    <w:rsid w:val="00FA4418"/>
    <w:rsid w:val="00FA4A45"/>
    <w:rsid w:val="00FA4B1F"/>
    <w:rsid w:val="00FA6B41"/>
    <w:rsid w:val="00FA71BE"/>
    <w:rsid w:val="00FB0484"/>
    <w:rsid w:val="00FB0EF7"/>
    <w:rsid w:val="00FB334B"/>
    <w:rsid w:val="00FB3A0F"/>
    <w:rsid w:val="00FB6514"/>
    <w:rsid w:val="00FB679D"/>
    <w:rsid w:val="00FB6D3A"/>
    <w:rsid w:val="00FC13ED"/>
    <w:rsid w:val="00FC26B0"/>
    <w:rsid w:val="00FC3B7D"/>
    <w:rsid w:val="00FC4968"/>
    <w:rsid w:val="00FC66E6"/>
    <w:rsid w:val="00FC6899"/>
    <w:rsid w:val="00FC6EF1"/>
    <w:rsid w:val="00FC7843"/>
    <w:rsid w:val="00FD1C72"/>
    <w:rsid w:val="00FD208F"/>
    <w:rsid w:val="00FD2879"/>
    <w:rsid w:val="00FD6C0B"/>
    <w:rsid w:val="00FD7A10"/>
    <w:rsid w:val="00FD7A91"/>
    <w:rsid w:val="00FD7FB7"/>
    <w:rsid w:val="00FE161F"/>
    <w:rsid w:val="00FE29DA"/>
    <w:rsid w:val="00FE2FC8"/>
    <w:rsid w:val="00FE3093"/>
    <w:rsid w:val="00FE3FA5"/>
    <w:rsid w:val="00FE4AA8"/>
    <w:rsid w:val="00FE4ACF"/>
    <w:rsid w:val="00FE4E9F"/>
    <w:rsid w:val="00FE6CE4"/>
    <w:rsid w:val="00FE736C"/>
    <w:rsid w:val="00FF04BD"/>
    <w:rsid w:val="00FF0731"/>
    <w:rsid w:val="00FF11E1"/>
    <w:rsid w:val="00FF1899"/>
    <w:rsid w:val="00FF1F96"/>
    <w:rsid w:val="00FF2DC5"/>
    <w:rsid w:val="00FF2E11"/>
    <w:rsid w:val="00FF2FA5"/>
    <w:rsid w:val="00FF4DA7"/>
    <w:rsid w:val="00FF5437"/>
    <w:rsid w:val="00FF6F94"/>
    <w:rsid w:val="00FF7223"/>
    <w:rsid w:val="00FF7ED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C0BE4"/>
  <w15:docId w15:val="{17F05B63-D59F-1442-9AE9-3820E213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BB"/>
    <w:rPr>
      <w:sz w:val="24"/>
      <w:szCs w:val="24"/>
      <w:lang w:eastAsia="en-US"/>
    </w:rPr>
  </w:style>
  <w:style w:type="paragraph" w:styleId="Heading1">
    <w:name w:val="heading 1"/>
    <w:basedOn w:val="ListParagraph"/>
    <w:next w:val="Normal"/>
    <w:link w:val="Heading1Char"/>
    <w:uiPriority w:val="9"/>
    <w:qFormat/>
    <w:rsid w:val="00DF034A"/>
    <w:pPr>
      <w:numPr>
        <w:numId w:val="4"/>
      </w:numPr>
      <w:tabs>
        <w:tab w:val="left" w:pos="360"/>
      </w:tabs>
      <w:spacing w:after="220" w:line="276" w:lineRule="auto"/>
      <w:outlineLvl w:val="0"/>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BD1F74"/>
    <w:pPr>
      <w:numPr>
        <w:numId w:val="1"/>
      </w:numPr>
    </w:pPr>
  </w:style>
  <w:style w:type="paragraph" w:customStyle="1" w:styleId="Leandra">
    <w:name w:val="Leandra"/>
    <w:basedOn w:val="Normal"/>
    <w:autoRedefine/>
    <w:rsid w:val="00BD1F74"/>
    <w:pPr>
      <w:numPr>
        <w:numId w:val="2"/>
      </w:numPr>
      <w:spacing w:before="240" w:after="240"/>
      <w:contextualSpacing/>
    </w:pPr>
  </w:style>
  <w:style w:type="paragraph" w:styleId="Header">
    <w:name w:val="header"/>
    <w:basedOn w:val="Normal"/>
    <w:rsid w:val="00F626BD"/>
    <w:pPr>
      <w:tabs>
        <w:tab w:val="center" w:pos="4320"/>
        <w:tab w:val="right" w:pos="8640"/>
      </w:tabs>
    </w:pPr>
  </w:style>
  <w:style w:type="paragraph" w:styleId="Footer">
    <w:name w:val="footer"/>
    <w:basedOn w:val="Normal"/>
    <w:link w:val="FooterChar"/>
    <w:uiPriority w:val="99"/>
    <w:rsid w:val="00F626BD"/>
    <w:pPr>
      <w:tabs>
        <w:tab w:val="center" w:pos="4320"/>
        <w:tab w:val="right" w:pos="8640"/>
      </w:tabs>
    </w:pPr>
  </w:style>
  <w:style w:type="character" w:styleId="Hyperlink">
    <w:name w:val="Hyperlink"/>
    <w:basedOn w:val="DefaultParagraphFont"/>
    <w:uiPriority w:val="99"/>
    <w:rsid w:val="00BB0999"/>
    <w:rPr>
      <w:color w:val="0000FF"/>
      <w:u w:val="single"/>
    </w:rPr>
  </w:style>
  <w:style w:type="character" w:styleId="PageNumber">
    <w:name w:val="page number"/>
    <w:basedOn w:val="DefaultParagraphFont"/>
    <w:rsid w:val="001837B4"/>
  </w:style>
  <w:style w:type="paragraph" w:styleId="BalloonText">
    <w:name w:val="Balloon Text"/>
    <w:basedOn w:val="Normal"/>
    <w:link w:val="BalloonTextChar"/>
    <w:rsid w:val="00966B8D"/>
    <w:rPr>
      <w:rFonts w:ascii="Tahoma" w:hAnsi="Tahoma" w:cs="Tahoma"/>
      <w:sz w:val="16"/>
      <w:szCs w:val="16"/>
    </w:rPr>
  </w:style>
  <w:style w:type="character" w:customStyle="1" w:styleId="BalloonTextChar">
    <w:name w:val="Balloon Text Char"/>
    <w:basedOn w:val="DefaultParagraphFont"/>
    <w:link w:val="BalloonText"/>
    <w:rsid w:val="00966B8D"/>
    <w:rPr>
      <w:rFonts w:ascii="Tahoma" w:hAnsi="Tahoma" w:cs="Tahoma"/>
      <w:sz w:val="16"/>
      <w:szCs w:val="16"/>
      <w:lang w:eastAsia="en-US"/>
    </w:rPr>
  </w:style>
  <w:style w:type="character" w:customStyle="1" w:styleId="FooterChar">
    <w:name w:val="Footer Char"/>
    <w:basedOn w:val="DefaultParagraphFont"/>
    <w:link w:val="Footer"/>
    <w:uiPriority w:val="99"/>
    <w:rsid w:val="009C46F0"/>
    <w:rPr>
      <w:rFonts w:ascii="Arial" w:hAnsi="Arial"/>
      <w:sz w:val="24"/>
      <w:szCs w:val="32"/>
      <w:lang w:eastAsia="en-US"/>
    </w:rPr>
  </w:style>
  <w:style w:type="paragraph" w:styleId="ListParagraph">
    <w:name w:val="List Paragraph"/>
    <w:basedOn w:val="Normal"/>
    <w:uiPriority w:val="34"/>
    <w:qFormat/>
    <w:rsid w:val="009C46F0"/>
    <w:pPr>
      <w:ind w:left="720"/>
      <w:contextualSpacing/>
    </w:pPr>
  </w:style>
  <w:style w:type="paragraph" w:styleId="EndnoteText">
    <w:name w:val="endnote text"/>
    <w:basedOn w:val="Normal"/>
    <w:link w:val="EndnoteTextChar"/>
    <w:uiPriority w:val="99"/>
    <w:rsid w:val="00695F9D"/>
    <w:rPr>
      <w:sz w:val="20"/>
      <w:szCs w:val="20"/>
    </w:rPr>
  </w:style>
  <w:style w:type="character" w:customStyle="1" w:styleId="EndnoteTextChar">
    <w:name w:val="Endnote Text Char"/>
    <w:basedOn w:val="DefaultParagraphFont"/>
    <w:link w:val="EndnoteText"/>
    <w:uiPriority w:val="99"/>
    <w:rsid w:val="00695F9D"/>
    <w:rPr>
      <w:rFonts w:ascii="Arial" w:hAnsi="Arial"/>
      <w:lang w:eastAsia="en-US"/>
    </w:rPr>
  </w:style>
  <w:style w:type="character" w:styleId="EndnoteReference">
    <w:name w:val="endnote reference"/>
    <w:basedOn w:val="DefaultParagraphFont"/>
    <w:uiPriority w:val="99"/>
    <w:rsid w:val="00695F9D"/>
    <w:rPr>
      <w:vertAlign w:val="superscript"/>
    </w:rPr>
  </w:style>
  <w:style w:type="table" w:styleId="TableGrid">
    <w:name w:val="Table Grid"/>
    <w:basedOn w:val="TableNormal"/>
    <w:rsid w:val="00585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034A"/>
    <w:rPr>
      <w:rFonts w:cs="Arial"/>
      <w:b/>
      <w:sz w:val="24"/>
      <w:szCs w:val="24"/>
      <w:lang w:eastAsia="en-US"/>
    </w:rPr>
  </w:style>
  <w:style w:type="paragraph" w:customStyle="1" w:styleId="western">
    <w:name w:val="western"/>
    <w:basedOn w:val="Normal"/>
    <w:uiPriority w:val="99"/>
    <w:rsid w:val="003A6D1F"/>
    <w:pPr>
      <w:spacing w:before="100" w:beforeAutospacing="1" w:after="100" w:afterAutospacing="1"/>
    </w:pPr>
    <w:rPr>
      <w:rFonts w:eastAsiaTheme="minorHAnsi"/>
      <w:lang w:eastAsia="en-CA"/>
    </w:rPr>
  </w:style>
  <w:style w:type="paragraph" w:styleId="NormalWeb">
    <w:name w:val="Normal (Web)"/>
    <w:basedOn w:val="Normal"/>
    <w:uiPriority w:val="99"/>
    <w:unhideWhenUsed/>
    <w:rsid w:val="003A6D1F"/>
    <w:pPr>
      <w:spacing w:before="100" w:beforeAutospacing="1" w:after="100" w:afterAutospacing="1"/>
    </w:pPr>
    <w:rPr>
      <w:rFonts w:eastAsiaTheme="minorHAnsi"/>
      <w:lang w:eastAsia="en-CA"/>
    </w:rPr>
  </w:style>
  <w:style w:type="paragraph" w:styleId="FootnoteText">
    <w:name w:val="footnote text"/>
    <w:basedOn w:val="Normal"/>
    <w:link w:val="FootnoteTextChar"/>
    <w:unhideWhenUsed/>
    <w:rsid w:val="00FE161F"/>
    <w:rPr>
      <w:sz w:val="20"/>
      <w:szCs w:val="20"/>
    </w:rPr>
  </w:style>
  <w:style w:type="character" w:customStyle="1" w:styleId="FootnoteTextChar">
    <w:name w:val="Footnote Text Char"/>
    <w:basedOn w:val="DefaultParagraphFont"/>
    <w:link w:val="FootnoteText"/>
    <w:rsid w:val="00FE161F"/>
    <w:rPr>
      <w:rFonts w:ascii="Arial" w:hAnsi="Arial"/>
      <w:lang w:eastAsia="en-US"/>
    </w:rPr>
  </w:style>
  <w:style w:type="character" w:styleId="FootnoteReference">
    <w:name w:val="footnote reference"/>
    <w:basedOn w:val="DefaultParagraphFont"/>
    <w:unhideWhenUsed/>
    <w:rsid w:val="00FE161F"/>
    <w:rPr>
      <w:vertAlign w:val="superscript"/>
    </w:rPr>
  </w:style>
  <w:style w:type="character" w:customStyle="1" w:styleId="Style1Char">
    <w:name w:val="Style1 Char"/>
    <w:link w:val="Style1"/>
    <w:locked/>
    <w:rsid w:val="00B04E9C"/>
    <w:rPr>
      <w:rFonts w:cs="Arial"/>
      <w:sz w:val="24"/>
      <w:szCs w:val="24"/>
      <w:lang w:eastAsia="en-US"/>
    </w:rPr>
  </w:style>
  <w:style w:type="paragraph" w:customStyle="1" w:styleId="Style1">
    <w:name w:val="Style1"/>
    <w:basedOn w:val="ListParagraph"/>
    <w:link w:val="Style1Char"/>
    <w:qFormat/>
    <w:rsid w:val="00B04E9C"/>
    <w:pPr>
      <w:numPr>
        <w:numId w:val="3"/>
      </w:numPr>
      <w:contextualSpacing w:val="0"/>
    </w:pPr>
    <w:rPr>
      <w:rFonts w:cs="Arial"/>
    </w:rPr>
  </w:style>
  <w:style w:type="character" w:styleId="FollowedHyperlink">
    <w:name w:val="FollowedHyperlink"/>
    <w:basedOn w:val="DefaultParagraphFont"/>
    <w:semiHidden/>
    <w:unhideWhenUsed/>
    <w:rsid w:val="00CB34D4"/>
    <w:rPr>
      <w:color w:val="800080" w:themeColor="followedHyperlink"/>
      <w:u w:val="single"/>
    </w:rPr>
  </w:style>
  <w:style w:type="character" w:styleId="CommentReference">
    <w:name w:val="annotation reference"/>
    <w:basedOn w:val="DefaultParagraphFont"/>
    <w:uiPriority w:val="99"/>
    <w:semiHidden/>
    <w:unhideWhenUsed/>
    <w:rsid w:val="00314FC9"/>
    <w:rPr>
      <w:sz w:val="16"/>
      <w:szCs w:val="16"/>
    </w:rPr>
  </w:style>
  <w:style w:type="paragraph" w:styleId="CommentText">
    <w:name w:val="annotation text"/>
    <w:basedOn w:val="Normal"/>
    <w:link w:val="CommentTextChar"/>
    <w:uiPriority w:val="99"/>
    <w:unhideWhenUsed/>
    <w:rsid w:val="00314FC9"/>
    <w:rPr>
      <w:sz w:val="20"/>
      <w:szCs w:val="20"/>
    </w:rPr>
  </w:style>
  <w:style w:type="character" w:customStyle="1" w:styleId="CommentTextChar">
    <w:name w:val="Comment Text Char"/>
    <w:basedOn w:val="DefaultParagraphFont"/>
    <w:link w:val="CommentText"/>
    <w:uiPriority w:val="99"/>
    <w:rsid w:val="00314FC9"/>
    <w:rPr>
      <w:rFonts w:ascii="Arial" w:hAnsi="Arial"/>
      <w:lang w:eastAsia="en-US"/>
    </w:rPr>
  </w:style>
  <w:style w:type="paragraph" w:styleId="CommentSubject">
    <w:name w:val="annotation subject"/>
    <w:basedOn w:val="CommentText"/>
    <w:next w:val="CommentText"/>
    <w:link w:val="CommentSubjectChar"/>
    <w:semiHidden/>
    <w:unhideWhenUsed/>
    <w:rsid w:val="00314FC9"/>
    <w:rPr>
      <w:b/>
      <w:bCs/>
    </w:rPr>
  </w:style>
  <w:style w:type="character" w:customStyle="1" w:styleId="CommentSubjectChar">
    <w:name w:val="Comment Subject Char"/>
    <w:basedOn w:val="CommentTextChar"/>
    <w:link w:val="CommentSubject"/>
    <w:semiHidden/>
    <w:rsid w:val="00314FC9"/>
    <w:rPr>
      <w:rFonts w:ascii="Arial" w:hAnsi="Arial"/>
      <w:b/>
      <w:bCs/>
      <w:lang w:eastAsia="en-US"/>
    </w:rPr>
  </w:style>
  <w:style w:type="character" w:styleId="Emphasis">
    <w:name w:val="Emphasis"/>
    <w:basedOn w:val="DefaultParagraphFont"/>
    <w:uiPriority w:val="20"/>
    <w:qFormat/>
    <w:rsid w:val="00A44A2B"/>
    <w:rPr>
      <w:i/>
      <w:iCs/>
    </w:rPr>
  </w:style>
  <w:style w:type="paragraph" w:styleId="Caption">
    <w:name w:val="caption"/>
    <w:basedOn w:val="Normal"/>
    <w:next w:val="Normal"/>
    <w:unhideWhenUsed/>
    <w:qFormat/>
    <w:rsid w:val="0095399C"/>
    <w:pPr>
      <w:spacing w:after="200"/>
    </w:pPr>
    <w:rPr>
      <w:i/>
      <w:iCs/>
      <w:color w:val="1F497D" w:themeColor="text2"/>
      <w:sz w:val="18"/>
      <w:szCs w:val="18"/>
    </w:rPr>
  </w:style>
  <w:style w:type="paragraph" w:styleId="Revision">
    <w:name w:val="Revision"/>
    <w:hidden/>
    <w:uiPriority w:val="99"/>
    <w:semiHidden/>
    <w:rsid w:val="00192224"/>
    <w:rPr>
      <w:rFonts w:ascii="Arial" w:hAnsi="Arial"/>
      <w:sz w:val="24"/>
      <w:szCs w:val="32"/>
      <w:lang w:eastAsia="en-US"/>
    </w:rPr>
  </w:style>
  <w:style w:type="character" w:styleId="Strong">
    <w:name w:val="Strong"/>
    <w:basedOn w:val="DefaultParagraphFont"/>
    <w:uiPriority w:val="22"/>
    <w:qFormat/>
    <w:rsid w:val="00FA35C6"/>
    <w:rPr>
      <w:b/>
      <w:bCs/>
    </w:rPr>
  </w:style>
  <w:style w:type="paragraph" w:styleId="PlainText">
    <w:name w:val="Plain Text"/>
    <w:basedOn w:val="Normal"/>
    <w:link w:val="PlainTextChar"/>
    <w:uiPriority w:val="99"/>
    <w:unhideWhenUsed/>
    <w:rsid w:val="00BD20B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D20BB"/>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490B31"/>
    <w:rPr>
      <w:color w:val="605E5C"/>
      <w:shd w:val="clear" w:color="auto" w:fill="E1DFDD"/>
    </w:rPr>
  </w:style>
  <w:style w:type="character" w:customStyle="1" w:styleId="UnresolvedMention2">
    <w:name w:val="Unresolved Mention2"/>
    <w:basedOn w:val="DefaultParagraphFont"/>
    <w:uiPriority w:val="99"/>
    <w:semiHidden/>
    <w:unhideWhenUsed/>
    <w:rsid w:val="00651B6D"/>
    <w:rPr>
      <w:color w:val="605E5C"/>
      <w:shd w:val="clear" w:color="auto" w:fill="E1DFDD"/>
    </w:rPr>
  </w:style>
  <w:style w:type="character" w:customStyle="1" w:styleId="apple-converted-space">
    <w:name w:val="apple-converted-space"/>
    <w:basedOn w:val="DefaultParagraphFont"/>
    <w:rsid w:val="003E0D0E"/>
  </w:style>
  <w:style w:type="character" w:customStyle="1" w:styleId="UnresolvedMention3">
    <w:name w:val="Unresolved Mention3"/>
    <w:basedOn w:val="DefaultParagraphFont"/>
    <w:uiPriority w:val="99"/>
    <w:semiHidden/>
    <w:unhideWhenUsed/>
    <w:rsid w:val="00E52D4A"/>
    <w:rPr>
      <w:color w:val="605E5C"/>
      <w:shd w:val="clear" w:color="auto" w:fill="E1DFDD"/>
    </w:rPr>
  </w:style>
  <w:style w:type="character" w:customStyle="1" w:styleId="UnresolvedMention4">
    <w:name w:val="Unresolved Mention4"/>
    <w:basedOn w:val="DefaultParagraphFont"/>
    <w:uiPriority w:val="99"/>
    <w:semiHidden/>
    <w:unhideWhenUsed/>
    <w:rsid w:val="00E2310F"/>
    <w:rPr>
      <w:color w:val="605E5C"/>
      <w:shd w:val="clear" w:color="auto" w:fill="E1DFDD"/>
    </w:rPr>
  </w:style>
  <w:style w:type="character" w:customStyle="1" w:styleId="UnresolvedMention5">
    <w:name w:val="Unresolved Mention5"/>
    <w:basedOn w:val="DefaultParagraphFont"/>
    <w:uiPriority w:val="99"/>
    <w:semiHidden/>
    <w:unhideWhenUsed/>
    <w:rsid w:val="00535EA9"/>
    <w:rPr>
      <w:color w:val="605E5C"/>
      <w:shd w:val="clear" w:color="auto" w:fill="E1DFDD"/>
    </w:rPr>
  </w:style>
  <w:style w:type="character" w:customStyle="1" w:styleId="title-presub">
    <w:name w:val="title-presub"/>
    <w:basedOn w:val="DefaultParagraphFont"/>
    <w:rsid w:val="004255E3"/>
  </w:style>
  <w:style w:type="character" w:customStyle="1" w:styleId="UnresolvedMention6">
    <w:name w:val="Unresolved Mention6"/>
    <w:basedOn w:val="DefaultParagraphFont"/>
    <w:uiPriority w:val="99"/>
    <w:semiHidden/>
    <w:unhideWhenUsed/>
    <w:rsid w:val="00EB3088"/>
    <w:rPr>
      <w:color w:val="605E5C"/>
      <w:shd w:val="clear" w:color="auto" w:fill="E1DFDD"/>
    </w:rPr>
  </w:style>
  <w:style w:type="character" w:customStyle="1" w:styleId="UnresolvedMention7">
    <w:name w:val="Unresolved Mention7"/>
    <w:basedOn w:val="DefaultParagraphFont"/>
    <w:uiPriority w:val="99"/>
    <w:semiHidden/>
    <w:unhideWhenUsed/>
    <w:rsid w:val="00AA4A08"/>
    <w:rPr>
      <w:color w:val="605E5C"/>
      <w:shd w:val="clear" w:color="auto" w:fill="E1DFDD"/>
    </w:rPr>
  </w:style>
  <w:style w:type="character" w:customStyle="1" w:styleId="UnresolvedMention">
    <w:name w:val="Unresolved Mention"/>
    <w:basedOn w:val="DefaultParagraphFont"/>
    <w:uiPriority w:val="99"/>
    <w:semiHidden/>
    <w:unhideWhenUsed/>
    <w:rsid w:val="00C26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696">
      <w:bodyDiv w:val="1"/>
      <w:marLeft w:val="0"/>
      <w:marRight w:val="0"/>
      <w:marTop w:val="0"/>
      <w:marBottom w:val="0"/>
      <w:divBdr>
        <w:top w:val="none" w:sz="0" w:space="0" w:color="auto"/>
        <w:left w:val="none" w:sz="0" w:space="0" w:color="auto"/>
        <w:bottom w:val="none" w:sz="0" w:space="0" w:color="auto"/>
        <w:right w:val="none" w:sz="0" w:space="0" w:color="auto"/>
      </w:divBdr>
      <w:divsChild>
        <w:div w:id="445928821">
          <w:marLeft w:val="0"/>
          <w:marRight w:val="0"/>
          <w:marTop w:val="0"/>
          <w:marBottom w:val="0"/>
          <w:divBdr>
            <w:top w:val="none" w:sz="0" w:space="0" w:color="auto"/>
            <w:left w:val="none" w:sz="0" w:space="0" w:color="auto"/>
            <w:bottom w:val="none" w:sz="0" w:space="0" w:color="auto"/>
            <w:right w:val="none" w:sz="0" w:space="0" w:color="auto"/>
          </w:divBdr>
          <w:divsChild>
            <w:div w:id="1170028665">
              <w:marLeft w:val="0"/>
              <w:marRight w:val="0"/>
              <w:marTop w:val="0"/>
              <w:marBottom w:val="0"/>
              <w:divBdr>
                <w:top w:val="none" w:sz="0" w:space="0" w:color="auto"/>
                <w:left w:val="none" w:sz="0" w:space="0" w:color="auto"/>
                <w:bottom w:val="none" w:sz="0" w:space="0" w:color="auto"/>
                <w:right w:val="none" w:sz="0" w:space="0" w:color="auto"/>
              </w:divBdr>
              <w:divsChild>
                <w:div w:id="1102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9679">
      <w:bodyDiv w:val="1"/>
      <w:marLeft w:val="0"/>
      <w:marRight w:val="0"/>
      <w:marTop w:val="0"/>
      <w:marBottom w:val="0"/>
      <w:divBdr>
        <w:top w:val="none" w:sz="0" w:space="0" w:color="auto"/>
        <w:left w:val="none" w:sz="0" w:space="0" w:color="auto"/>
        <w:bottom w:val="none" w:sz="0" w:space="0" w:color="auto"/>
        <w:right w:val="none" w:sz="0" w:space="0" w:color="auto"/>
      </w:divBdr>
    </w:div>
    <w:div w:id="65613121">
      <w:bodyDiv w:val="1"/>
      <w:marLeft w:val="0"/>
      <w:marRight w:val="0"/>
      <w:marTop w:val="0"/>
      <w:marBottom w:val="0"/>
      <w:divBdr>
        <w:top w:val="none" w:sz="0" w:space="0" w:color="auto"/>
        <w:left w:val="none" w:sz="0" w:space="0" w:color="auto"/>
        <w:bottom w:val="none" w:sz="0" w:space="0" w:color="auto"/>
        <w:right w:val="none" w:sz="0" w:space="0" w:color="auto"/>
      </w:divBdr>
      <w:divsChild>
        <w:div w:id="1690177410">
          <w:marLeft w:val="0"/>
          <w:marRight w:val="0"/>
          <w:marTop w:val="0"/>
          <w:marBottom w:val="0"/>
          <w:divBdr>
            <w:top w:val="none" w:sz="0" w:space="0" w:color="auto"/>
            <w:left w:val="none" w:sz="0" w:space="0" w:color="auto"/>
            <w:bottom w:val="none" w:sz="0" w:space="0" w:color="auto"/>
            <w:right w:val="none" w:sz="0" w:space="0" w:color="auto"/>
          </w:divBdr>
          <w:divsChild>
            <w:div w:id="1731688953">
              <w:marLeft w:val="0"/>
              <w:marRight w:val="0"/>
              <w:marTop w:val="0"/>
              <w:marBottom w:val="0"/>
              <w:divBdr>
                <w:top w:val="none" w:sz="0" w:space="0" w:color="auto"/>
                <w:left w:val="none" w:sz="0" w:space="0" w:color="auto"/>
                <w:bottom w:val="none" w:sz="0" w:space="0" w:color="auto"/>
                <w:right w:val="none" w:sz="0" w:space="0" w:color="auto"/>
              </w:divBdr>
              <w:divsChild>
                <w:div w:id="15762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8031">
      <w:bodyDiv w:val="1"/>
      <w:marLeft w:val="0"/>
      <w:marRight w:val="0"/>
      <w:marTop w:val="0"/>
      <w:marBottom w:val="0"/>
      <w:divBdr>
        <w:top w:val="none" w:sz="0" w:space="0" w:color="auto"/>
        <w:left w:val="none" w:sz="0" w:space="0" w:color="auto"/>
        <w:bottom w:val="none" w:sz="0" w:space="0" w:color="auto"/>
        <w:right w:val="none" w:sz="0" w:space="0" w:color="auto"/>
      </w:divBdr>
    </w:div>
    <w:div w:id="190605553">
      <w:bodyDiv w:val="1"/>
      <w:marLeft w:val="0"/>
      <w:marRight w:val="0"/>
      <w:marTop w:val="0"/>
      <w:marBottom w:val="0"/>
      <w:divBdr>
        <w:top w:val="none" w:sz="0" w:space="0" w:color="auto"/>
        <w:left w:val="none" w:sz="0" w:space="0" w:color="auto"/>
        <w:bottom w:val="none" w:sz="0" w:space="0" w:color="auto"/>
        <w:right w:val="none" w:sz="0" w:space="0" w:color="auto"/>
      </w:divBdr>
    </w:div>
    <w:div w:id="269510995">
      <w:bodyDiv w:val="1"/>
      <w:marLeft w:val="0"/>
      <w:marRight w:val="0"/>
      <w:marTop w:val="0"/>
      <w:marBottom w:val="0"/>
      <w:divBdr>
        <w:top w:val="none" w:sz="0" w:space="0" w:color="auto"/>
        <w:left w:val="none" w:sz="0" w:space="0" w:color="auto"/>
        <w:bottom w:val="none" w:sz="0" w:space="0" w:color="auto"/>
        <w:right w:val="none" w:sz="0" w:space="0" w:color="auto"/>
      </w:divBdr>
      <w:divsChild>
        <w:div w:id="1645937815">
          <w:marLeft w:val="0"/>
          <w:marRight w:val="0"/>
          <w:marTop w:val="0"/>
          <w:marBottom w:val="0"/>
          <w:divBdr>
            <w:top w:val="none" w:sz="0" w:space="0" w:color="auto"/>
            <w:left w:val="none" w:sz="0" w:space="0" w:color="auto"/>
            <w:bottom w:val="none" w:sz="0" w:space="0" w:color="auto"/>
            <w:right w:val="none" w:sz="0" w:space="0" w:color="auto"/>
          </w:divBdr>
          <w:divsChild>
            <w:div w:id="1598366638">
              <w:marLeft w:val="0"/>
              <w:marRight w:val="0"/>
              <w:marTop w:val="0"/>
              <w:marBottom w:val="0"/>
              <w:divBdr>
                <w:top w:val="none" w:sz="0" w:space="0" w:color="auto"/>
                <w:left w:val="none" w:sz="0" w:space="0" w:color="auto"/>
                <w:bottom w:val="none" w:sz="0" w:space="0" w:color="auto"/>
                <w:right w:val="none" w:sz="0" w:space="0" w:color="auto"/>
              </w:divBdr>
              <w:divsChild>
                <w:div w:id="15940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4524">
      <w:bodyDiv w:val="1"/>
      <w:marLeft w:val="0"/>
      <w:marRight w:val="0"/>
      <w:marTop w:val="0"/>
      <w:marBottom w:val="0"/>
      <w:divBdr>
        <w:top w:val="none" w:sz="0" w:space="0" w:color="auto"/>
        <w:left w:val="none" w:sz="0" w:space="0" w:color="auto"/>
        <w:bottom w:val="none" w:sz="0" w:space="0" w:color="auto"/>
        <w:right w:val="none" w:sz="0" w:space="0" w:color="auto"/>
      </w:divBdr>
    </w:div>
    <w:div w:id="289559306">
      <w:bodyDiv w:val="1"/>
      <w:marLeft w:val="0"/>
      <w:marRight w:val="0"/>
      <w:marTop w:val="0"/>
      <w:marBottom w:val="0"/>
      <w:divBdr>
        <w:top w:val="none" w:sz="0" w:space="0" w:color="auto"/>
        <w:left w:val="none" w:sz="0" w:space="0" w:color="auto"/>
        <w:bottom w:val="none" w:sz="0" w:space="0" w:color="auto"/>
        <w:right w:val="none" w:sz="0" w:space="0" w:color="auto"/>
      </w:divBdr>
    </w:div>
    <w:div w:id="314338686">
      <w:bodyDiv w:val="1"/>
      <w:marLeft w:val="0"/>
      <w:marRight w:val="0"/>
      <w:marTop w:val="0"/>
      <w:marBottom w:val="0"/>
      <w:divBdr>
        <w:top w:val="none" w:sz="0" w:space="0" w:color="auto"/>
        <w:left w:val="none" w:sz="0" w:space="0" w:color="auto"/>
        <w:bottom w:val="none" w:sz="0" w:space="0" w:color="auto"/>
        <w:right w:val="none" w:sz="0" w:space="0" w:color="auto"/>
      </w:divBdr>
    </w:div>
    <w:div w:id="350959608">
      <w:bodyDiv w:val="1"/>
      <w:marLeft w:val="0"/>
      <w:marRight w:val="0"/>
      <w:marTop w:val="0"/>
      <w:marBottom w:val="0"/>
      <w:divBdr>
        <w:top w:val="none" w:sz="0" w:space="0" w:color="auto"/>
        <w:left w:val="none" w:sz="0" w:space="0" w:color="auto"/>
        <w:bottom w:val="none" w:sz="0" w:space="0" w:color="auto"/>
        <w:right w:val="none" w:sz="0" w:space="0" w:color="auto"/>
      </w:divBdr>
    </w:div>
    <w:div w:id="391469015">
      <w:bodyDiv w:val="1"/>
      <w:marLeft w:val="0"/>
      <w:marRight w:val="0"/>
      <w:marTop w:val="0"/>
      <w:marBottom w:val="0"/>
      <w:divBdr>
        <w:top w:val="none" w:sz="0" w:space="0" w:color="auto"/>
        <w:left w:val="none" w:sz="0" w:space="0" w:color="auto"/>
        <w:bottom w:val="none" w:sz="0" w:space="0" w:color="auto"/>
        <w:right w:val="none" w:sz="0" w:space="0" w:color="auto"/>
      </w:divBdr>
      <w:divsChild>
        <w:div w:id="954872896">
          <w:marLeft w:val="0"/>
          <w:marRight w:val="0"/>
          <w:marTop w:val="0"/>
          <w:marBottom w:val="0"/>
          <w:divBdr>
            <w:top w:val="none" w:sz="0" w:space="0" w:color="auto"/>
            <w:left w:val="none" w:sz="0" w:space="0" w:color="auto"/>
            <w:bottom w:val="none" w:sz="0" w:space="0" w:color="auto"/>
            <w:right w:val="none" w:sz="0" w:space="0" w:color="auto"/>
          </w:divBdr>
          <w:divsChild>
            <w:div w:id="1293171027">
              <w:marLeft w:val="0"/>
              <w:marRight w:val="0"/>
              <w:marTop w:val="0"/>
              <w:marBottom w:val="0"/>
              <w:divBdr>
                <w:top w:val="none" w:sz="0" w:space="0" w:color="auto"/>
                <w:left w:val="none" w:sz="0" w:space="0" w:color="auto"/>
                <w:bottom w:val="none" w:sz="0" w:space="0" w:color="auto"/>
                <w:right w:val="none" w:sz="0" w:space="0" w:color="auto"/>
              </w:divBdr>
              <w:divsChild>
                <w:div w:id="7522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78171">
      <w:bodyDiv w:val="1"/>
      <w:marLeft w:val="0"/>
      <w:marRight w:val="0"/>
      <w:marTop w:val="0"/>
      <w:marBottom w:val="0"/>
      <w:divBdr>
        <w:top w:val="none" w:sz="0" w:space="0" w:color="auto"/>
        <w:left w:val="none" w:sz="0" w:space="0" w:color="auto"/>
        <w:bottom w:val="none" w:sz="0" w:space="0" w:color="auto"/>
        <w:right w:val="none" w:sz="0" w:space="0" w:color="auto"/>
      </w:divBdr>
      <w:divsChild>
        <w:div w:id="856115679">
          <w:marLeft w:val="0"/>
          <w:marRight w:val="0"/>
          <w:marTop w:val="0"/>
          <w:marBottom w:val="0"/>
          <w:divBdr>
            <w:top w:val="none" w:sz="0" w:space="0" w:color="auto"/>
            <w:left w:val="none" w:sz="0" w:space="0" w:color="auto"/>
            <w:bottom w:val="none" w:sz="0" w:space="0" w:color="auto"/>
            <w:right w:val="none" w:sz="0" w:space="0" w:color="auto"/>
          </w:divBdr>
          <w:divsChild>
            <w:div w:id="682362298">
              <w:marLeft w:val="0"/>
              <w:marRight w:val="0"/>
              <w:marTop w:val="0"/>
              <w:marBottom w:val="0"/>
              <w:divBdr>
                <w:top w:val="none" w:sz="0" w:space="0" w:color="auto"/>
                <w:left w:val="none" w:sz="0" w:space="0" w:color="auto"/>
                <w:bottom w:val="none" w:sz="0" w:space="0" w:color="auto"/>
                <w:right w:val="none" w:sz="0" w:space="0" w:color="auto"/>
              </w:divBdr>
              <w:divsChild>
                <w:div w:id="4750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1566">
      <w:bodyDiv w:val="1"/>
      <w:marLeft w:val="0"/>
      <w:marRight w:val="0"/>
      <w:marTop w:val="0"/>
      <w:marBottom w:val="0"/>
      <w:divBdr>
        <w:top w:val="none" w:sz="0" w:space="0" w:color="auto"/>
        <w:left w:val="none" w:sz="0" w:space="0" w:color="auto"/>
        <w:bottom w:val="none" w:sz="0" w:space="0" w:color="auto"/>
        <w:right w:val="none" w:sz="0" w:space="0" w:color="auto"/>
      </w:divBdr>
      <w:divsChild>
        <w:div w:id="2059819192">
          <w:marLeft w:val="0"/>
          <w:marRight w:val="0"/>
          <w:marTop w:val="0"/>
          <w:marBottom w:val="0"/>
          <w:divBdr>
            <w:top w:val="none" w:sz="0" w:space="0" w:color="auto"/>
            <w:left w:val="none" w:sz="0" w:space="0" w:color="auto"/>
            <w:bottom w:val="none" w:sz="0" w:space="0" w:color="auto"/>
            <w:right w:val="none" w:sz="0" w:space="0" w:color="auto"/>
          </w:divBdr>
          <w:divsChild>
            <w:div w:id="405031707">
              <w:marLeft w:val="0"/>
              <w:marRight w:val="0"/>
              <w:marTop w:val="0"/>
              <w:marBottom w:val="0"/>
              <w:divBdr>
                <w:top w:val="none" w:sz="0" w:space="0" w:color="auto"/>
                <w:left w:val="none" w:sz="0" w:space="0" w:color="auto"/>
                <w:bottom w:val="none" w:sz="0" w:space="0" w:color="auto"/>
                <w:right w:val="none" w:sz="0" w:space="0" w:color="auto"/>
              </w:divBdr>
              <w:divsChild>
                <w:div w:id="15191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5969">
      <w:bodyDiv w:val="1"/>
      <w:marLeft w:val="0"/>
      <w:marRight w:val="0"/>
      <w:marTop w:val="0"/>
      <w:marBottom w:val="0"/>
      <w:divBdr>
        <w:top w:val="none" w:sz="0" w:space="0" w:color="auto"/>
        <w:left w:val="none" w:sz="0" w:space="0" w:color="auto"/>
        <w:bottom w:val="none" w:sz="0" w:space="0" w:color="auto"/>
        <w:right w:val="none" w:sz="0" w:space="0" w:color="auto"/>
      </w:divBdr>
    </w:div>
    <w:div w:id="490751050">
      <w:bodyDiv w:val="1"/>
      <w:marLeft w:val="0"/>
      <w:marRight w:val="0"/>
      <w:marTop w:val="0"/>
      <w:marBottom w:val="0"/>
      <w:divBdr>
        <w:top w:val="none" w:sz="0" w:space="0" w:color="auto"/>
        <w:left w:val="none" w:sz="0" w:space="0" w:color="auto"/>
        <w:bottom w:val="none" w:sz="0" w:space="0" w:color="auto"/>
        <w:right w:val="none" w:sz="0" w:space="0" w:color="auto"/>
      </w:divBdr>
      <w:divsChild>
        <w:div w:id="275871967">
          <w:marLeft w:val="0"/>
          <w:marRight w:val="0"/>
          <w:marTop w:val="0"/>
          <w:marBottom w:val="0"/>
          <w:divBdr>
            <w:top w:val="none" w:sz="0" w:space="0" w:color="auto"/>
            <w:left w:val="none" w:sz="0" w:space="0" w:color="auto"/>
            <w:bottom w:val="none" w:sz="0" w:space="0" w:color="auto"/>
            <w:right w:val="none" w:sz="0" w:space="0" w:color="auto"/>
          </w:divBdr>
          <w:divsChild>
            <w:div w:id="289282103">
              <w:marLeft w:val="0"/>
              <w:marRight w:val="0"/>
              <w:marTop w:val="0"/>
              <w:marBottom w:val="0"/>
              <w:divBdr>
                <w:top w:val="none" w:sz="0" w:space="0" w:color="auto"/>
                <w:left w:val="none" w:sz="0" w:space="0" w:color="auto"/>
                <w:bottom w:val="none" w:sz="0" w:space="0" w:color="auto"/>
                <w:right w:val="none" w:sz="0" w:space="0" w:color="auto"/>
              </w:divBdr>
              <w:divsChild>
                <w:div w:id="1273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8863">
      <w:bodyDiv w:val="1"/>
      <w:marLeft w:val="0"/>
      <w:marRight w:val="0"/>
      <w:marTop w:val="0"/>
      <w:marBottom w:val="0"/>
      <w:divBdr>
        <w:top w:val="none" w:sz="0" w:space="0" w:color="auto"/>
        <w:left w:val="none" w:sz="0" w:space="0" w:color="auto"/>
        <w:bottom w:val="none" w:sz="0" w:space="0" w:color="auto"/>
        <w:right w:val="none" w:sz="0" w:space="0" w:color="auto"/>
      </w:divBdr>
      <w:divsChild>
        <w:div w:id="223755996">
          <w:marLeft w:val="0"/>
          <w:marRight w:val="0"/>
          <w:marTop w:val="0"/>
          <w:marBottom w:val="0"/>
          <w:divBdr>
            <w:top w:val="none" w:sz="0" w:space="0" w:color="auto"/>
            <w:left w:val="none" w:sz="0" w:space="0" w:color="auto"/>
            <w:bottom w:val="none" w:sz="0" w:space="0" w:color="auto"/>
            <w:right w:val="none" w:sz="0" w:space="0" w:color="auto"/>
          </w:divBdr>
          <w:divsChild>
            <w:div w:id="736127254">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4721">
      <w:bodyDiv w:val="1"/>
      <w:marLeft w:val="0"/>
      <w:marRight w:val="0"/>
      <w:marTop w:val="0"/>
      <w:marBottom w:val="0"/>
      <w:divBdr>
        <w:top w:val="none" w:sz="0" w:space="0" w:color="auto"/>
        <w:left w:val="none" w:sz="0" w:space="0" w:color="auto"/>
        <w:bottom w:val="none" w:sz="0" w:space="0" w:color="auto"/>
        <w:right w:val="none" w:sz="0" w:space="0" w:color="auto"/>
      </w:divBdr>
    </w:div>
    <w:div w:id="648363736">
      <w:bodyDiv w:val="1"/>
      <w:marLeft w:val="0"/>
      <w:marRight w:val="0"/>
      <w:marTop w:val="0"/>
      <w:marBottom w:val="0"/>
      <w:divBdr>
        <w:top w:val="none" w:sz="0" w:space="0" w:color="auto"/>
        <w:left w:val="none" w:sz="0" w:space="0" w:color="auto"/>
        <w:bottom w:val="none" w:sz="0" w:space="0" w:color="auto"/>
        <w:right w:val="none" w:sz="0" w:space="0" w:color="auto"/>
      </w:divBdr>
    </w:div>
    <w:div w:id="670520972">
      <w:bodyDiv w:val="1"/>
      <w:marLeft w:val="0"/>
      <w:marRight w:val="0"/>
      <w:marTop w:val="0"/>
      <w:marBottom w:val="0"/>
      <w:divBdr>
        <w:top w:val="none" w:sz="0" w:space="0" w:color="auto"/>
        <w:left w:val="none" w:sz="0" w:space="0" w:color="auto"/>
        <w:bottom w:val="none" w:sz="0" w:space="0" w:color="auto"/>
        <w:right w:val="none" w:sz="0" w:space="0" w:color="auto"/>
      </w:divBdr>
    </w:div>
    <w:div w:id="700981046">
      <w:bodyDiv w:val="1"/>
      <w:marLeft w:val="0"/>
      <w:marRight w:val="0"/>
      <w:marTop w:val="0"/>
      <w:marBottom w:val="0"/>
      <w:divBdr>
        <w:top w:val="none" w:sz="0" w:space="0" w:color="auto"/>
        <w:left w:val="none" w:sz="0" w:space="0" w:color="auto"/>
        <w:bottom w:val="none" w:sz="0" w:space="0" w:color="auto"/>
        <w:right w:val="none" w:sz="0" w:space="0" w:color="auto"/>
      </w:divBdr>
    </w:div>
    <w:div w:id="752237032">
      <w:bodyDiv w:val="1"/>
      <w:marLeft w:val="0"/>
      <w:marRight w:val="0"/>
      <w:marTop w:val="0"/>
      <w:marBottom w:val="0"/>
      <w:divBdr>
        <w:top w:val="none" w:sz="0" w:space="0" w:color="auto"/>
        <w:left w:val="none" w:sz="0" w:space="0" w:color="auto"/>
        <w:bottom w:val="none" w:sz="0" w:space="0" w:color="auto"/>
        <w:right w:val="none" w:sz="0" w:space="0" w:color="auto"/>
      </w:divBdr>
      <w:divsChild>
        <w:div w:id="1180965597">
          <w:marLeft w:val="0"/>
          <w:marRight w:val="0"/>
          <w:marTop w:val="0"/>
          <w:marBottom w:val="0"/>
          <w:divBdr>
            <w:top w:val="none" w:sz="0" w:space="0" w:color="auto"/>
            <w:left w:val="none" w:sz="0" w:space="0" w:color="auto"/>
            <w:bottom w:val="none" w:sz="0" w:space="0" w:color="auto"/>
            <w:right w:val="none" w:sz="0" w:space="0" w:color="auto"/>
          </w:divBdr>
          <w:divsChild>
            <w:div w:id="269094021">
              <w:marLeft w:val="0"/>
              <w:marRight w:val="0"/>
              <w:marTop w:val="0"/>
              <w:marBottom w:val="0"/>
              <w:divBdr>
                <w:top w:val="none" w:sz="0" w:space="0" w:color="auto"/>
                <w:left w:val="none" w:sz="0" w:space="0" w:color="auto"/>
                <w:bottom w:val="none" w:sz="0" w:space="0" w:color="auto"/>
                <w:right w:val="none" w:sz="0" w:space="0" w:color="auto"/>
              </w:divBdr>
              <w:divsChild>
                <w:div w:id="3518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1270">
      <w:bodyDiv w:val="1"/>
      <w:marLeft w:val="0"/>
      <w:marRight w:val="0"/>
      <w:marTop w:val="0"/>
      <w:marBottom w:val="0"/>
      <w:divBdr>
        <w:top w:val="none" w:sz="0" w:space="0" w:color="auto"/>
        <w:left w:val="none" w:sz="0" w:space="0" w:color="auto"/>
        <w:bottom w:val="none" w:sz="0" w:space="0" w:color="auto"/>
        <w:right w:val="none" w:sz="0" w:space="0" w:color="auto"/>
      </w:divBdr>
    </w:div>
    <w:div w:id="794445617">
      <w:bodyDiv w:val="1"/>
      <w:marLeft w:val="0"/>
      <w:marRight w:val="0"/>
      <w:marTop w:val="0"/>
      <w:marBottom w:val="0"/>
      <w:divBdr>
        <w:top w:val="none" w:sz="0" w:space="0" w:color="auto"/>
        <w:left w:val="none" w:sz="0" w:space="0" w:color="auto"/>
        <w:bottom w:val="none" w:sz="0" w:space="0" w:color="auto"/>
        <w:right w:val="none" w:sz="0" w:space="0" w:color="auto"/>
      </w:divBdr>
      <w:divsChild>
        <w:div w:id="1045444262">
          <w:marLeft w:val="0"/>
          <w:marRight w:val="0"/>
          <w:marTop w:val="0"/>
          <w:marBottom w:val="0"/>
          <w:divBdr>
            <w:top w:val="none" w:sz="0" w:space="0" w:color="auto"/>
            <w:left w:val="none" w:sz="0" w:space="0" w:color="auto"/>
            <w:bottom w:val="none" w:sz="0" w:space="0" w:color="auto"/>
            <w:right w:val="none" w:sz="0" w:space="0" w:color="auto"/>
          </w:divBdr>
        </w:div>
        <w:div w:id="438337059">
          <w:marLeft w:val="0"/>
          <w:marRight w:val="0"/>
          <w:marTop w:val="0"/>
          <w:marBottom w:val="300"/>
          <w:divBdr>
            <w:top w:val="none" w:sz="0" w:space="0" w:color="auto"/>
            <w:left w:val="none" w:sz="0" w:space="0" w:color="auto"/>
            <w:bottom w:val="none" w:sz="0" w:space="0" w:color="auto"/>
            <w:right w:val="none" w:sz="0" w:space="0" w:color="auto"/>
          </w:divBdr>
        </w:div>
      </w:divsChild>
    </w:div>
    <w:div w:id="797338537">
      <w:bodyDiv w:val="1"/>
      <w:marLeft w:val="0"/>
      <w:marRight w:val="0"/>
      <w:marTop w:val="0"/>
      <w:marBottom w:val="0"/>
      <w:divBdr>
        <w:top w:val="none" w:sz="0" w:space="0" w:color="auto"/>
        <w:left w:val="none" w:sz="0" w:space="0" w:color="auto"/>
        <w:bottom w:val="none" w:sz="0" w:space="0" w:color="auto"/>
        <w:right w:val="none" w:sz="0" w:space="0" w:color="auto"/>
      </w:divBdr>
    </w:div>
    <w:div w:id="797988148">
      <w:bodyDiv w:val="1"/>
      <w:marLeft w:val="0"/>
      <w:marRight w:val="0"/>
      <w:marTop w:val="0"/>
      <w:marBottom w:val="0"/>
      <w:divBdr>
        <w:top w:val="none" w:sz="0" w:space="0" w:color="auto"/>
        <w:left w:val="none" w:sz="0" w:space="0" w:color="auto"/>
        <w:bottom w:val="none" w:sz="0" w:space="0" w:color="auto"/>
        <w:right w:val="none" w:sz="0" w:space="0" w:color="auto"/>
      </w:divBdr>
      <w:divsChild>
        <w:div w:id="73360437">
          <w:marLeft w:val="0"/>
          <w:marRight w:val="0"/>
          <w:marTop w:val="280"/>
          <w:marBottom w:val="225"/>
          <w:divBdr>
            <w:top w:val="none" w:sz="0" w:space="0" w:color="auto"/>
            <w:left w:val="none" w:sz="0" w:space="0" w:color="auto"/>
            <w:bottom w:val="none" w:sz="0" w:space="0" w:color="auto"/>
            <w:right w:val="none" w:sz="0" w:space="0" w:color="auto"/>
          </w:divBdr>
        </w:div>
        <w:div w:id="687953894">
          <w:marLeft w:val="0"/>
          <w:marRight w:val="0"/>
          <w:marTop w:val="280"/>
          <w:marBottom w:val="225"/>
          <w:divBdr>
            <w:top w:val="none" w:sz="0" w:space="0" w:color="auto"/>
            <w:left w:val="none" w:sz="0" w:space="0" w:color="auto"/>
            <w:bottom w:val="none" w:sz="0" w:space="0" w:color="auto"/>
            <w:right w:val="none" w:sz="0" w:space="0" w:color="auto"/>
          </w:divBdr>
        </w:div>
        <w:div w:id="1947035710">
          <w:marLeft w:val="0"/>
          <w:marRight w:val="0"/>
          <w:marTop w:val="280"/>
          <w:marBottom w:val="225"/>
          <w:divBdr>
            <w:top w:val="none" w:sz="0" w:space="0" w:color="auto"/>
            <w:left w:val="none" w:sz="0" w:space="0" w:color="auto"/>
            <w:bottom w:val="none" w:sz="0" w:space="0" w:color="auto"/>
            <w:right w:val="none" w:sz="0" w:space="0" w:color="auto"/>
          </w:divBdr>
        </w:div>
      </w:divsChild>
    </w:div>
    <w:div w:id="815994713">
      <w:bodyDiv w:val="1"/>
      <w:marLeft w:val="0"/>
      <w:marRight w:val="0"/>
      <w:marTop w:val="0"/>
      <w:marBottom w:val="0"/>
      <w:divBdr>
        <w:top w:val="none" w:sz="0" w:space="0" w:color="auto"/>
        <w:left w:val="none" w:sz="0" w:space="0" w:color="auto"/>
        <w:bottom w:val="none" w:sz="0" w:space="0" w:color="auto"/>
        <w:right w:val="none" w:sz="0" w:space="0" w:color="auto"/>
      </w:divBdr>
    </w:div>
    <w:div w:id="821584886">
      <w:bodyDiv w:val="1"/>
      <w:marLeft w:val="0"/>
      <w:marRight w:val="0"/>
      <w:marTop w:val="0"/>
      <w:marBottom w:val="0"/>
      <w:divBdr>
        <w:top w:val="none" w:sz="0" w:space="0" w:color="auto"/>
        <w:left w:val="none" w:sz="0" w:space="0" w:color="auto"/>
        <w:bottom w:val="none" w:sz="0" w:space="0" w:color="auto"/>
        <w:right w:val="none" w:sz="0" w:space="0" w:color="auto"/>
      </w:divBdr>
      <w:divsChild>
        <w:div w:id="281153922">
          <w:marLeft w:val="0"/>
          <w:marRight w:val="0"/>
          <w:marTop w:val="0"/>
          <w:marBottom w:val="0"/>
          <w:divBdr>
            <w:top w:val="none" w:sz="0" w:space="0" w:color="auto"/>
            <w:left w:val="none" w:sz="0" w:space="0" w:color="auto"/>
            <w:bottom w:val="none" w:sz="0" w:space="0" w:color="auto"/>
            <w:right w:val="none" w:sz="0" w:space="0" w:color="auto"/>
          </w:divBdr>
        </w:div>
        <w:div w:id="1120806028">
          <w:marLeft w:val="0"/>
          <w:marRight w:val="0"/>
          <w:marTop w:val="0"/>
          <w:marBottom w:val="0"/>
          <w:divBdr>
            <w:top w:val="none" w:sz="0" w:space="0" w:color="auto"/>
            <w:left w:val="none" w:sz="0" w:space="0" w:color="auto"/>
            <w:bottom w:val="none" w:sz="0" w:space="0" w:color="auto"/>
            <w:right w:val="none" w:sz="0" w:space="0" w:color="auto"/>
          </w:divBdr>
        </w:div>
      </w:divsChild>
    </w:div>
    <w:div w:id="846217455">
      <w:bodyDiv w:val="1"/>
      <w:marLeft w:val="0"/>
      <w:marRight w:val="0"/>
      <w:marTop w:val="0"/>
      <w:marBottom w:val="0"/>
      <w:divBdr>
        <w:top w:val="none" w:sz="0" w:space="0" w:color="auto"/>
        <w:left w:val="none" w:sz="0" w:space="0" w:color="auto"/>
        <w:bottom w:val="none" w:sz="0" w:space="0" w:color="auto"/>
        <w:right w:val="none" w:sz="0" w:space="0" w:color="auto"/>
      </w:divBdr>
      <w:divsChild>
        <w:div w:id="1261180851">
          <w:marLeft w:val="0"/>
          <w:marRight w:val="0"/>
          <w:marTop w:val="0"/>
          <w:marBottom w:val="0"/>
          <w:divBdr>
            <w:top w:val="none" w:sz="0" w:space="0" w:color="auto"/>
            <w:left w:val="none" w:sz="0" w:space="0" w:color="auto"/>
            <w:bottom w:val="none" w:sz="0" w:space="0" w:color="auto"/>
            <w:right w:val="none" w:sz="0" w:space="0" w:color="auto"/>
          </w:divBdr>
          <w:divsChild>
            <w:div w:id="411201499">
              <w:marLeft w:val="0"/>
              <w:marRight w:val="0"/>
              <w:marTop w:val="0"/>
              <w:marBottom w:val="0"/>
              <w:divBdr>
                <w:top w:val="none" w:sz="0" w:space="0" w:color="auto"/>
                <w:left w:val="none" w:sz="0" w:space="0" w:color="auto"/>
                <w:bottom w:val="none" w:sz="0" w:space="0" w:color="auto"/>
                <w:right w:val="none" w:sz="0" w:space="0" w:color="auto"/>
              </w:divBdr>
              <w:divsChild>
                <w:div w:id="1692336312">
                  <w:marLeft w:val="0"/>
                  <w:marRight w:val="0"/>
                  <w:marTop w:val="0"/>
                  <w:marBottom w:val="0"/>
                  <w:divBdr>
                    <w:top w:val="none" w:sz="0" w:space="0" w:color="auto"/>
                    <w:left w:val="none" w:sz="0" w:space="0" w:color="auto"/>
                    <w:bottom w:val="none" w:sz="0" w:space="0" w:color="auto"/>
                    <w:right w:val="none" w:sz="0" w:space="0" w:color="auto"/>
                  </w:divBdr>
                  <w:divsChild>
                    <w:div w:id="13663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55419">
      <w:bodyDiv w:val="1"/>
      <w:marLeft w:val="0"/>
      <w:marRight w:val="0"/>
      <w:marTop w:val="0"/>
      <w:marBottom w:val="0"/>
      <w:divBdr>
        <w:top w:val="none" w:sz="0" w:space="0" w:color="auto"/>
        <w:left w:val="none" w:sz="0" w:space="0" w:color="auto"/>
        <w:bottom w:val="none" w:sz="0" w:space="0" w:color="auto"/>
        <w:right w:val="none" w:sz="0" w:space="0" w:color="auto"/>
      </w:divBdr>
    </w:div>
    <w:div w:id="874657069">
      <w:bodyDiv w:val="1"/>
      <w:marLeft w:val="0"/>
      <w:marRight w:val="0"/>
      <w:marTop w:val="0"/>
      <w:marBottom w:val="0"/>
      <w:divBdr>
        <w:top w:val="none" w:sz="0" w:space="0" w:color="auto"/>
        <w:left w:val="none" w:sz="0" w:space="0" w:color="auto"/>
        <w:bottom w:val="none" w:sz="0" w:space="0" w:color="auto"/>
        <w:right w:val="none" w:sz="0" w:space="0" w:color="auto"/>
      </w:divBdr>
    </w:div>
    <w:div w:id="883712789">
      <w:bodyDiv w:val="1"/>
      <w:marLeft w:val="0"/>
      <w:marRight w:val="0"/>
      <w:marTop w:val="0"/>
      <w:marBottom w:val="0"/>
      <w:divBdr>
        <w:top w:val="none" w:sz="0" w:space="0" w:color="auto"/>
        <w:left w:val="none" w:sz="0" w:space="0" w:color="auto"/>
        <w:bottom w:val="none" w:sz="0" w:space="0" w:color="auto"/>
        <w:right w:val="none" w:sz="0" w:space="0" w:color="auto"/>
      </w:divBdr>
      <w:divsChild>
        <w:div w:id="359360791">
          <w:marLeft w:val="0"/>
          <w:marRight w:val="0"/>
          <w:marTop w:val="0"/>
          <w:marBottom w:val="0"/>
          <w:divBdr>
            <w:top w:val="none" w:sz="0" w:space="0" w:color="auto"/>
            <w:left w:val="none" w:sz="0" w:space="0" w:color="auto"/>
            <w:bottom w:val="none" w:sz="0" w:space="0" w:color="auto"/>
            <w:right w:val="none" w:sz="0" w:space="0" w:color="auto"/>
          </w:divBdr>
          <w:divsChild>
            <w:div w:id="1545290150">
              <w:marLeft w:val="0"/>
              <w:marRight w:val="0"/>
              <w:marTop w:val="0"/>
              <w:marBottom w:val="0"/>
              <w:divBdr>
                <w:top w:val="none" w:sz="0" w:space="0" w:color="auto"/>
                <w:left w:val="none" w:sz="0" w:space="0" w:color="auto"/>
                <w:bottom w:val="none" w:sz="0" w:space="0" w:color="auto"/>
                <w:right w:val="none" w:sz="0" w:space="0" w:color="auto"/>
              </w:divBdr>
              <w:divsChild>
                <w:div w:id="11515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84725">
      <w:bodyDiv w:val="1"/>
      <w:marLeft w:val="0"/>
      <w:marRight w:val="0"/>
      <w:marTop w:val="0"/>
      <w:marBottom w:val="0"/>
      <w:divBdr>
        <w:top w:val="none" w:sz="0" w:space="0" w:color="auto"/>
        <w:left w:val="none" w:sz="0" w:space="0" w:color="auto"/>
        <w:bottom w:val="none" w:sz="0" w:space="0" w:color="auto"/>
        <w:right w:val="none" w:sz="0" w:space="0" w:color="auto"/>
      </w:divBdr>
    </w:div>
    <w:div w:id="900676533">
      <w:bodyDiv w:val="1"/>
      <w:marLeft w:val="0"/>
      <w:marRight w:val="0"/>
      <w:marTop w:val="0"/>
      <w:marBottom w:val="0"/>
      <w:divBdr>
        <w:top w:val="none" w:sz="0" w:space="0" w:color="auto"/>
        <w:left w:val="none" w:sz="0" w:space="0" w:color="auto"/>
        <w:bottom w:val="none" w:sz="0" w:space="0" w:color="auto"/>
        <w:right w:val="none" w:sz="0" w:space="0" w:color="auto"/>
      </w:divBdr>
    </w:div>
    <w:div w:id="932399488">
      <w:bodyDiv w:val="1"/>
      <w:marLeft w:val="0"/>
      <w:marRight w:val="0"/>
      <w:marTop w:val="0"/>
      <w:marBottom w:val="0"/>
      <w:divBdr>
        <w:top w:val="none" w:sz="0" w:space="0" w:color="auto"/>
        <w:left w:val="none" w:sz="0" w:space="0" w:color="auto"/>
        <w:bottom w:val="none" w:sz="0" w:space="0" w:color="auto"/>
        <w:right w:val="none" w:sz="0" w:space="0" w:color="auto"/>
      </w:divBdr>
      <w:divsChild>
        <w:div w:id="47656024">
          <w:marLeft w:val="720"/>
          <w:marRight w:val="0"/>
          <w:marTop w:val="0"/>
          <w:marBottom w:val="0"/>
          <w:divBdr>
            <w:top w:val="none" w:sz="0" w:space="0" w:color="auto"/>
            <w:left w:val="none" w:sz="0" w:space="0" w:color="auto"/>
            <w:bottom w:val="none" w:sz="0" w:space="0" w:color="auto"/>
            <w:right w:val="none" w:sz="0" w:space="0" w:color="auto"/>
          </w:divBdr>
        </w:div>
        <w:div w:id="1153713650">
          <w:marLeft w:val="720"/>
          <w:marRight w:val="0"/>
          <w:marTop w:val="0"/>
          <w:marBottom w:val="0"/>
          <w:divBdr>
            <w:top w:val="none" w:sz="0" w:space="0" w:color="auto"/>
            <w:left w:val="none" w:sz="0" w:space="0" w:color="auto"/>
            <w:bottom w:val="none" w:sz="0" w:space="0" w:color="auto"/>
            <w:right w:val="none" w:sz="0" w:space="0" w:color="auto"/>
          </w:divBdr>
        </w:div>
        <w:div w:id="2142992490">
          <w:marLeft w:val="720"/>
          <w:marRight w:val="0"/>
          <w:marTop w:val="0"/>
          <w:marBottom w:val="0"/>
          <w:divBdr>
            <w:top w:val="none" w:sz="0" w:space="0" w:color="auto"/>
            <w:left w:val="none" w:sz="0" w:space="0" w:color="auto"/>
            <w:bottom w:val="none" w:sz="0" w:space="0" w:color="auto"/>
            <w:right w:val="none" w:sz="0" w:space="0" w:color="auto"/>
          </w:divBdr>
        </w:div>
      </w:divsChild>
    </w:div>
    <w:div w:id="937834113">
      <w:bodyDiv w:val="1"/>
      <w:marLeft w:val="0"/>
      <w:marRight w:val="0"/>
      <w:marTop w:val="0"/>
      <w:marBottom w:val="0"/>
      <w:divBdr>
        <w:top w:val="none" w:sz="0" w:space="0" w:color="auto"/>
        <w:left w:val="none" w:sz="0" w:space="0" w:color="auto"/>
        <w:bottom w:val="none" w:sz="0" w:space="0" w:color="auto"/>
        <w:right w:val="none" w:sz="0" w:space="0" w:color="auto"/>
      </w:divBdr>
    </w:div>
    <w:div w:id="978073859">
      <w:bodyDiv w:val="1"/>
      <w:marLeft w:val="0"/>
      <w:marRight w:val="0"/>
      <w:marTop w:val="0"/>
      <w:marBottom w:val="0"/>
      <w:divBdr>
        <w:top w:val="none" w:sz="0" w:space="0" w:color="auto"/>
        <w:left w:val="none" w:sz="0" w:space="0" w:color="auto"/>
        <w:bottom w:val="none" w:sz="0" w:space="0" w:color="auto"/>
        <w:right w:val="none" w:sz="0" w:space="0" w:color="auto"/>
      </w:divBdr>
    </w:div>
    <w:div w:id="992608578">
      <w:bodyDiv w:val="1"/>
      <w:marLeft w:val="0"/>
      <w:marRight w:val="0"/>
      <w:marTop w:val="0"/>
      <w:marBottom w:val="0"/>
      <w:divBdr>
        <w:top w:val="none" w:sz="0" w:space="0" w:color="auto"/>
        <w:left w:val="none" w:sz="0" w:space="0" w:color="auto"/>
        <w:bottom w:val="none" w:sz="0" w:space="0" w:color="auto"/>
        <w:right w:val="none" w:sz="0" w:space="0" w:color="auto"/>
      </w:divBdr>
    </w:div>
    <w:div w:id="1019355453">
      <w:bodyDiv w:val="1"/>
      <w:marLeft w:val="0"/>
      <w:marRight w:val="0"/>
      <w:marTop w:val="0"/>
      <w:marBottom w:val="0"/>
      <w:divBdr>
        <w:top w:val="none" w:sz="0" w:space="0" w:color="auto"/>
        <w:left w:val="none" w:sz="0" w:space="0" w:color="auto"/>
        <w:bottom w:val="none" w:sz="0" w:space="0" w:color="auto"/>
        <w:right w:val="none" w:sz="0" w:space="0" w:color="auto"/>
      </w:divBdr>
    </w:div>
    <w:div w:id="1038436952">
      <w:bodyDiv w:val="1"/>
      <w:marLeft w:val="0"/>
      <w:marRight w:val="0"/>
      <w:marTop w:val="0"/>
      <w:marBottom w:val="0"/>
      <w:divBdr>
        <w:top w:val="none" w:sz="0" w:space="0" w:color="auto"/>
        <w:left w:val="none" w:sz="0" w:space="0" w:color="auto"/>
        <w:bottom w:val="none" w:sz="0" w:space="0" w:color="auto"/>
        <w:right w:val="none" w:sz="0" w:space="0" w:color="auto"/>
      </w:divBdr>
    </w:div>
    <w:div w:id="1076129178">
      <w:bodyDiv w:val="1"/>
      <w:marLeft w:val="0"/>
      <w:marRight w:val="0"/>
      <w:marTop w:val="0"/>
      <w:marBottom w:val="0"/>
      <w:divBdr>
        <w:top w:val="none" w:sz="0" w:space="0" w:color="auto"/>
        <w:left w:val="none" w:sz="0" w:space="0" w:color="auto"/>
        <w:bottom w:val="none" w:sz="0" w:space="0" w:color="auto"/>
        <w:right w:val="none" w:sz="0" w:space="0" w:color="auto"/>
      </w:divBdr>
    </w:div>
    <w:div w:id="1102068962">
      <w:bodyDiv w:val="1"/>
      <w:marLeft w:val="0"/>
      <w:marRight w:val="0"/>
      <w:marTop w:val="0"/>
      <w:marBottom w:val="0"/>
      <w:divBdr>
        <w:top w:val="none" w:sz="0" w:space="0" w:color="auto"/>
        <w:left w:val="none" w:sz="0" w:space="0" w:color="auto"/>
        <w:bottom w:val="none" w:sz="0" w:space="0" w:color="auto"/>
        <w:right w:val="none" w:sz="0" w:space="0" w:color="auto"/>
      </w:divBdr>
      <w:divsChild>
        <w:div w:id="732776638">
          <w:marLeft w:val="0"/>
          <w:marRight w:val="0"/>
          <w:marTop w:val="0"/>
          <w:marBottom w:val="0"/>
          <w:divBdr>
            <w:top w:val="none" w:sz="0" w:space="0" w:color="auto"/>
            <w:left w:val="none" w:sz="0" w:space="0" w:color="auto"/>
            <w:bottom w:val="none" w:sz="0" w:space="0" w:color="auto"/>
            <w:right w:val="none" w:sz="0" w:space="0" w:color="auto"/>
          </w:divBdr>
        </w:div>
        <w:div w:id="1371880711">
          <w:marLeft w:val="0"/>
          <w:marRight w:val="0"/>
          <w:marTop w:val="0"/>
          <w:marBottom w:val="0"/>
          <w:divBdr>
            <w:top w:val="none" w:sz="0" w:space="0" w:color="auto"/>
            <w:left w:val="none" w:sz="0" w:space="0" w:color="auto"/>
            <w:bottom w:val="none" w:sz="0" w:space="0" w:color="auto"/>
            <w:right w:val="none" w:sz="0" w:space="0" w:color="auto"/>
          </w:divBdr>
        </w:div>
        <w:div w:id="1569723675">
          <w:marLeft w:val="0"/>
          <w:marRight w:val="0"/>
          <w:marTop w:val="0"/>
          <w:marBottom w:val="0"/>
          <w:divBdr>
            <w:top w:val="none" w:sz="0" w:space="0" w:color="auto"/>
            <w:left w:val="none" w:sz="0" w:space="0" w:color="auto"/>
            <w:bottom w:val="none" w:sz="0" w:space="0" w:color="auto"/>
            <w:right w:val="none" w:sz="0" w:space="0" w:color="auto"/>
          </w:divBdr>
        </w:div>
      </w:divsChild>
    </w:div>
    <w:div w:id="1186869650">
      <w:bodyDiv w:val="1"/>
      <w:marLeft w:val="0"/>
      <w:marRight w:val="0"/>
      <w:marTop w:val="0"/>
      <w:marBottom w:val="0"/>
      <w:divBdr>
        <w:top w:val="none" w:sz="0" w:space="0" w:color="auto"/>
        <w:left w:val="none" w:sz="0" w:space="0" w:color="auto"/>
        <w:bottom w:val="none" w:sz="0" w:space="0" w:color="auto"/>
        <w:right w:val="none" w:sz="0" w:space="0" w:color="auto"/>
      </w:divBdr>
    </w:div>
    <w:div w:id="1205363742">
      <w:bodyDiv w:val="1"/>
      <w:marLeft w:val="0"/>
      <w:marRight w:val="0"/>
      <w:marTop w:val="0"/>
      <w:marBottom w:val="0"/>
      <w:divBdr>
        <w:top w:val="none" w:sz="0" w:space="0" w:color="auto"/>
        <w:left w:val="none" w:sz="0" w:space="0" w:color="auto"/>
        <w:bottom w:val="none" w:sz="0" w:space="0" w:color="auto"/>
        <w:right w:val="none" w:sz="0" w:space="0" w:color="auto"/>
      </w:divBdr>
    </w:div>
    <w:div w:id="1212154947">
      <w:bodyDiv w:val="1"/>
      <w:marLeft w:val="0"/>
      <w:marRight w:val="0"/>
      <w:marTop w:val="0"/>
      <w:marBottom w:val="0"/>
      <w:divBdr>
        <w:top w:val="none" w:sz="0" w:space="0" w:color="auto"/>
        <w:left w:val="none" w:sz="0" w:space="0" w:color="auto"/>
        <w:bottom w:val="none" w:sz="0" w:space="0" w:color="auto"/>
        <w:right w:val="none" w:sz="0" w:space="0" w:color="auto"/>
      </w:divBdr>
    </w:div>
    <w:div w:id="1242523427">
      <w:bodyDiv w:val="1"/>
      <w:marLeft w:val="0"/>
      <w:marRight w:val="0"/>
      <w:marTop w:val="0"/>
      <w:marBottom w:val="0"/>
      <w:divBdr>
        <w:top w:val="none" w:sz="0" w:space="0" w:color="auto"/>
        <w:left w:val="none" w:sz="0" w:space="0" w:color="auto"/>
        <w:bottom w:val="none" w:sz="0" w:space="0" w:color="auto"/>
        <w:right w:val="none" w:sz="0" w:space="0" w:color="auto"/>
      </w:divBdr>
    </w:div>
    <w:div w:id="1246190319">
      <w:bodyDiv w:val="1"/>
      <w:marLeft w:val="0"/>
      <w:marRight w:val="0"/>
      <w:marTop w:val="0"/>
      <w:marBottom w:val="0"/>
      <w:divBdr>
        <w:top w:val="none" w:sz="0" w:space="0" w:color="auto"/>
        <w:left w:val="none" w:sz="0" w:space="0" w:color="auto"/>
        <w:bottom w:val="none" w:sz="0" w:space="0" w:color="auto"/>
        <w:right w:val="none" w:sz="0" w:space="0" w:color="auto"/>
      </w:divBdr>
      <w:divsChild>
        <w:div w:id="274754176">
          <w:marLeft w:val="0"/>
          <w:marRight w:val="0"/>
          <w:marTop w:val="0"/>
          <w:marBottom w:val="0"/>
          <w:divBdr>
            <w:top w:val="none" w:sz="0" w:space="0" w:color="auto"/>
            <w:left w:val="none" w:sz="0" w:space="0" w:color="auto"/>
            <w:bottom w:val="none" w:sz="0" w:space="0" w:color="auto"/>
            <w:right w:val="none" w:sz="0" w:space="0" w:color="auto"/>
          </w:divBdr>
          <w:divsChild>
            <w:div w:id="1710062634">
              <w:marLeft w:val="0"/>
              <w:marRight w:val="0"/>
              <w:marTop w:val="0"/>
              <w:marBottom w:val="0"/>
              <w:divBdr>
                <w:top w:val="none" w:sz="0" w:space="0" w:color="auto"/>
                <w:left w:val="none" w:sz="0" w:space="0" w:color="auto"/>
                <w:bottom w:val="none" w:sz="0" w:space="0" w:color="auto"/>
                <w:right w:val="none" w:sz="0" w:space="0" w:color="auto"/>
              </w:divBdr>
              <w:divsChild>
                <w:div w:id="7168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8855">
      <w:bodyDiv w:val="1"/>
      <w:marLeft w:val="0"/>
      <w:marRight w:val="0"/>
      <w:marTop w:val="0"/>
      <w:marBottom w:val="0"/>
      <w:divBdr>
        <w:top w:val="none" w:sz="0" w:space="0" w:color="auto"/>
        <w:left w:val="none" w:sz="0" w:space="0" w:color="auto"/>
        <w:bottom w:val="none" w:sz="0" w:space="0" w:color="auto"/>
        <w:right w:val="none" w:sz="0" w:space="0" w:color="auto"/>
      </w:divBdr>
    </w:div>
    <w:div w:id="1287202418">
      <w:bodyDiv w:val="1"/>
      <w:marLeft w:val="0"/>
      <w:marRight w:val="0"/>
      <w:marTop w:val="0"/>
      <w:marBottom w:val="0"/>
      <w:divBdr>
        <w:top w:val="none" w:sz="0" w:space="0" w:color="auto"/>
        <w:left w:val="none" w:sz="0" w:space="0" w:color="auto"/>
        <w:bottom w:val="none" w:sz="0" w:space="0" w:color="auto"/>
        <w:right w:val="none" w:sz="0" w:space="0" w:color="auto"/>
      </w:divBdr>
    </w:div>
    <w:div w:id="1337076236">
      <w:bodyDiv w:val="1"/>
      <w:marLeft w:val="0"/>
      <w:marRight w:val="0"/>
      <w:marTop w:val="0"/>
      <w:marBottom w:val="0"/>
      <w:divBdr>
        <w:top w:val="none" w:sz="0" w:space="0" w:color="auto"/>
        <w:left w:val="none" w:sz="0" w:space="0" w:color="auto"/>
        <w:bottom w:val="none" w:sz="0" w:space="0" w:color="auto"/>
        <w:right w:val="none" w:sz="0" w:space="0" w:color="auto"/>
      </w:divBdr>
    </w:div>
    <w:div w:id="1345279804">
      <w:bodyDiv w:val="1"/>
      <w:marLeft w:val="0"/>
      <w:marRight w:val="0"/>
      <w:marTop w:val="0"/>
      <w:marBottom w:val="0"/>
      <w:divBdr>
        <w:top w:val="none" w:sz="0" w:space="0" w:color="auto"/>
        <w:left w:val="none" w:sz="0" w:space="0" w:color="auto"/>
        <w:bottom w:val="none" w:sz="0" w:space="0" w:color="auto"/>
        <w:right w:val="none" w:sz="0" w:space="0" w:color="auto"/>
      </w:divBdr>
    </w:div>
    <w:div w:id="1362046286">
      <w:bodyDiv w:val="1"/>
      <w:marLeft w:val="0"/>
      <w:marRight w:val="0"/>
      <w:marTop w:val="0"/>
      <w:marBottom w:val="0"/>
      <w:divBdr>
        <w:top w:val="none" w:sz="0" w:space="0" w:color="auto"/>
        <w:left w:val="none" w:sz="0" w:space="0" w:color="auto"/>
        <w:bottom w:val="none" w:sz="0" w:space="0" w:color="auto"/>
        <w:right w:val="none" w:sz="0" w:space="0" w:color="auto"/>
      </w:divBdr>
      <w:divsChild>
        <w:div w:id="958605710">
          <w:marLeft w:val="0"/>
          <w:marRight w:val="0"/>
          <w:marTop w:val="0"/>
          <w:marBottom w:val="0"/>
          <w:divBdr>
            <w:top w:val="none" w:sz="0" w:space="0" w:color="auto"/>
            <w:left w:val="none" w:sz="0" w:space="0" w:color="auto"/>
            <w:bottom w:val="none" w:sz="0" w:space="0" w:color="auto"/>
            <w:right w:val="none" w:sz="0" w:space="0" w:color="auto"/>
          </w:divBdr>
          <w:divsChild>
            <w:div w:id="1990551284">
              <w:marLeft w:val="0"/>
              <w:marRight w:val="0"/>
              <w:marTop w:val="0"/>
              <w:marBottom w:val="0"/>
              <w:divBdr>
                <w:top w:val="none" w:sz="0" w:space="0" w:color="auto"/>
                <w:left w:val="none" w:sz="0" w:space="0" w:color="auto"/>
                <w:bottom w:val="none" w:sz="0" w:space="0" w:color="auto"/>
                <w:right w:val="none" w:sz="0" w:space="0" w:color="auto"/>
              </w:divBdr>
              <w:divsChild>
                <w:div w:id="1332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019">
      <w:bodyDiv w:val="1"/>
      <w:marLeft w:val="0"/>
      <w:marRight w:val="0"/>
      <w:marTop w:val="0"/>
      <w:marBottom w:val="0"/>
      <w:divBdr>
        <w:top w:val="none" w:sz="0" w:space="0" w:color="auto"/>
        <w:left w:val="none" w:sz="0" w:space="0" w:color="auto"/>
        <w:bottom w:val="none" w:sz="0" w:space="0" w:color="auto"/>
        <w:right w:val="none" w:sz="0" w:space="0" w:color="auto"/>
      </w:divBdr>
    </w:div>
    <w:div w:id="1446536533">
      <w:bodyDiv w:val="1"/>
      <w:marLeft w:val="0"/>
      <w:marRight w:val="0"/>
      <w:marTop w:val="0"/>
      <w:marBottom w:val="0"/>
      <w:divBdr>
        <w:top w:val="none" w:sz="0" w:space="0" w:color="auto"/>
        <w:left w:val="none" w:sz="0" w:space="0" w:color="auto"/>
        <w:bottom w:val="none" w:sz="0" w:space="0" w:color="auto"/>
        <w:right w:val="none" w:sz="0" w:space="0" w:color="auto"/>
      </w:divBdr>
      <w:divsChild>
        <w:div w:id="94525875">
          <w:marLeft w:val="0"/>
          <w:marRight w:val="0"/>
          <w:marTop w:val="0"/>
          <w:marBottom w:val="0"/>
          <w:divBdr>
            <w:top w:val="none" w:sz="0" w:space="0" w:color="auto"/>
            <w:left w:val="none" w:sz="0" w:space="0" w:color="auto"/>
            <w:bottom w:val="none" w:sz="0" w:space="0" w:color="auto"/>
            <w:right w:val="none" w:sz="0" w:space="0" w:color="auto"/>
          </w:divBdr>
          <w:divsChild>
            <w:div w:id="1278369952">
              <w:marLeft w:val="0"/>
              <w:marRight w:val="0"/>
              <w:marTop w:val="0"/>
              <w:marBottom w:val="0"/>
              <w:divBdr>
                <w:top w:val="none" w:sz="0" w:space="0" w:color="auto"/>
                <w:left w:val="none" w:sz="0" w:space="0" w:color="auto"/>
                <w:bottom w:val="none" w:sz="0" w:space="0" w:color="auto"/>
                <w:right w:val="none" w:sz="0" w:space="0" w:color="auto"/>
              </w:divBdr>
              <w:divsChild>
                <w:div w:id="9917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7405">
      <w:bodyDiv w:val="1"/>
      <w:marLeft w:val="0"/>
      <w:marRight w:val="0"/>
      <w:marTop w:val="0"/>
      <w:marBottom w:val="0"/>
      <w:divBdr>
        <w:top w:val="none" w:sz="0" w:space="0" w:color="auto"/>
        <w:left w:val="none" w:sz="0" w:space="0" w:color="auto"/>
        <w:bottom w:val="none" w:sz="0" w:space="0" w:color="auto"/>
        <w:right w:val="none" w:sz="0" w:space="0" w:color="auto"/>
      </w:divBdr>
      <w:divsChild>
        <w:div w:id="1591231451">
          <w:marLeft w:val="0"/>
          <w:marRight w:val="0"/>
          <w:marTop w:val="0"/>
          <w:marBottom w:val="0"/>
          <w:divBdr>
            <w:top w:val="none" w:sz="0" w:space="0" w:color="auto"/>
            <w:left w:val="none" w:sz="0" w:space="0" w:color="auto"/>
            <w:bottom w:val="none" w:sz="0" w:space="0" w:color="auto"/>
            <w:right w:val="none" w:sz="0" w:space="0" w:color="auto"/>
          </w:divBdr>
          <w:divsChild>
            <w:div w:id="2033334689">
              <w:marLeft w:val="0"/>
              <w:marRight w:val="0"/>
              <w:marTop w:val="0"/>
              <w:marBottom w:val="0"/>
              <w:divBdr>
                <w:top w:val="none" w:sz="0" w:space="0" w:color="auto"/>
                <w:left w:val="none" w:sz="0" w:space="0" w:color="auto"/>
                <w:bottom w:val="none" w:sz="0" w:space="0" w:color="auto"/>
                <w:right w:val="none" w:sz="0" w:space="0" w:color="auto"/>
              </w:divBdr>
              <w:divsChild>
                <w:div w:id="972101657">
                  <w:marLeft w:val="0"/>
                  <w:marRight w:val="0"/>
                  <w:marTop w:val="0"/>
                  <w:marBottom w:val="0"/>
                  <w:divBdr>
                    <w:top w:val="none" w:sz="0" w:space="0" w:color="auto"/>
                    <w:left w:val="none" w:sz="0" w:space="0" w:color="auto"/>
                    <w:bottom w:val="none" w:sz="0" w:space="0" w:color="auto"/>
                    <w:right w:val="none" w:sz="0" w:space="0" w:color="auto"/>
                  </w:divBdr>
                  <w:divsChild>
                    <w:div w:id="14668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47822">
      <w:bodyDiv w:val="1"/>
      <w:marLeft w:val="0"/>
      <w:marRight w:val="0"/>
      <w:marTop w:val="0"/>
      <w:marBottom w:val="0"/>
      <w:divBdr>
        <w:top w:val="none" w:sz="0" w:space="0" w:color="auto"/>
        <w:left w:val="none" w:sz="0" w:space="0" w:color="auto"/>
        <w:bottom w:val="none" w:sz="0" w:space="0" w:color="auto"/>
        <w:right w:val="none" w:sz="0" w:space="0" w:color="auto"/>
      </w:divBdr>
    </w:div>
    <w:div w:id="1573155368">
      <w:bodyDiv w:val="1"/>
      <w:marLeft w:val="0"/>
      <w:marRight w:val="0"/>
      <w:marTop w:val="0"/>
      <w:marBottom w:val="0"/>
      <w:divBdr>
        <w:top w:val="none" w:sz="0" w:space="0" w:color="auto"/>
        <w:left w:val="none" w:sz="0" w:space="0" w:color="auto"/>
        <w:bottom w:val="none" w:sz="0" w:space="0" w:color="auto"/>
        <w:right w:val="none" w:sz="0" w:space="0" w:color="auto"/>
      </w:divBdr>
    </w:div>
    <w:div w:id="1575358791">
      <w:bodyDiv w:val="1"/>
      <w:marLeft w:val="0"/>
      <w:marRight w:val="0"/>
      <w:marTop w:val="0"/>
      <w:marBottom w:val="0"/>
      <w:divBdr>
        <w:top w:val="none" w:sz="0" w:space="0" w:color="auto"/>
        <w:left w:val="none" w:sz="0" w:space="0" w:color="auto"/>
        <w:bottom w:val="none" w:sz="0" w:space="0" w:color="auto"/>
        <w:right w:val="none" w:sz="0" w:space="0" w:color="auto"/>
      </w:divBdr>
      <w:divsChild>
        <w:div w:id="376854123">
          <w:marLeft w:val="0"/>
          <w:marRight w:val="0"/>
          <w:marTop w:val="0"/>
          <w:marBottom w:val="0"/>
          <w:divBdr>
            <w:top w:val="none" w:sz="0" w:space="0" w:color="auto"/>
            <w:left w:val="none" w:sz="0" w:space="0" w:color="auto"/>
            <w:bottom w:val="none" w:sz="0" w:space="0" w:color="auto"/>
            <w:right w:val="none" w:sz="0" w:space="0" w:color="auto"/>
          </w:divBdr>
          <w:divsChild>
            <w:div w:id="1411780162">
              <w:marLeft w:val="0"/>
              <w:marRight w:val="0"/>
              <w:marTop w:val="0"/>
              <w:marBottom w:val="0"/>
              <w:divBdr>
                <w:top w:val="none" w:sz="0" w:space="0" w:color="auto"/>
                <w:left w:val="none" w:sz="0" w:space="0" w:color="auto"/>
                <w:bottom w:val="none" w:sz="0" w:space="0" w:color="auto"/>
                <w:right w:val="none" w:sz="0" w:space="0" w:color="auto"/>
              </w:divBdr>
              <w:divsChild>
                <w:div w:id="814445238">
                  <w:marLeft w:val="0"/>
                  <w:marRight w:val="0"/>
                  <w:marTop w:val="0"/>
                  <w:marBottom w:val="0"/>
                  <w:divBdr>
                    <w:top w:val="none" w:sz="0" w:space="0" w:color="auto"/>
                    <w:left w:val="none" w:sz="0" w:space="0" w:color="auto"/>
                    <w:bottom w:val="none" w:sz="0" w:space="0" w:color="auto"/>
                    <w:right w:val="none" w:sz="0" w:space="0" w:color="auto"/>
                  </w:divBdr>
                  <w:divsChild>
                    <w:div w:id="17543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98">
      <w:bodyDiv w:val="1"/>
      <w:marLeft w:val="0"/>
      <w:marRight w:val="0"/>
      <w:marTop w:val="0"/>
      <w:marBottom w:val="0"/>
      <w:divBdr>
        <w:top w:val="none" w:sz="0" w:space="0" w:color="auto"/>
        <w:left w:val="none" w:sz="0" w:space="0" w:color="auto"/>
        <w:bottom w:val="none" w:sz="0" w:space="0" w:color="auto"/>
        <w:right w:val="none" w:sz="0" w:space="0" w:color="auto"/>
      </w:divBdr>
    </w:div>
    <w:div w:id="1724479809">
      <w:bodyDiv w:val="1"/>
      <w:marLeft w:val="0"/>
      <w:marRight w:val="0"/>
      <w:marTop w:val="0"/>
      <w:marBottom w:val="0"/>
      <w:divBdr>
        <w:top w:val="none" w:sz="0" w:space="0" w:color="auto"/>
        <w:left w:val="none" w:sz="0" w:space="0" w:color="auto"/>
        <w:bottom w:val="none" w:sz="0" w:space="0" w:color="auto"/>
        <w:right w:val="none" w:sz="0" w:space="0" w:color="auto"/>
      </w:divBdr>
    </w:div>
    <w:div w:id="1776823502">
      <w:bodyDiv w:val="1"/>
      <w:marLeft w:val="0"/>
      <w:marRight w:val="0"/>
      <w:marTop w:val="0"/>
      <w:marBottom w:val="0"/>
      <w:divBdr>
        <w:top w:val="none" w:sz="0" w:space="0" w:color="auto"/>
        <w:left w:val="none" w:sz="0" w:space="0" w:color="auto"/>
        <w:bottom w:val="none" w:sz="0" w:space="0" w:color="auto"/>
        <w:right w:val="none" w:sz="0" w:space="0" w:color="auto"/>
      </w:divBdr>
    </w:div>
    <w:div w:id="1858930213">
      <w:bodyDiv w:val="1"/>
      <w:marLeft w:val="0"/>
      <w:marRight w:val="0"/>
      <w:marTop w:val="0"/>
      <w:marBottom w:val="0"/>
      <w:divBdr>
        <w:top w:val="none" w:sz="0" w:space="0" w:color="auto"/>
        <w:left w:val="none" w:sz="0" w:space="0" w:color="auto"/>
        <w:bottom w:val="none" w:sz="0" w:space="0" w:color="auto"/>
        <w:right w:val="none" w:sz="0" w:space="0" w:color="auto"/>
      </w:divBdr>
    </w:div>
    <w:div w:id="1907256720">
      <w:bodyDiv w:val="1"/>
      <w:marLeft w:val="0"/>
      <w:marRight w:val="0"/>
      <w:marTop w:val="0"/>
      <w:marBottom w:val="0"/>
      <w:divBdr>
        <w:top w:val="none" w:sz="0" w:space="0" w:color="auto"/>
        <w:left w:val="none" w:sz="0" w:space="0" w:color="auto"/>
        <w:bottom w:val="none" w:sz="0" w:space="0" w:color="auto"/>
        <w:right w:val="none" w:sz="0" w:space="0" w:color="auto"/>
      </w:divBdr>
      <w:divsChild>
        <w:div w:id="1629434779">
          <w:marLeft w:val="720"/>
          <w:marRight w:val="0"/>
          <w:marTop w:val="0"/>
          <w:marBottom w:val="0"/>
          <w:divBdr>
            <w:top w:val="none" w:sz="0" w:space="0" w:color="auto"/>
            <w:left w:val="none" w:sz="0" w:space="0" w:color="auto"/>
            <w:bottom w:val="none" w:sz="0" w:space="0" w:color="auto"/>
            <w:right w:val="none" w:sz="0" w:space="0" w:color="auto"/>
          </w:divBdr>
        </w:div>
        <w:div w:id="1559900595">
          <w:marLeft w:val="720"/>
          <w:marRight w:val="0"/>
          <w:marTop w:val="0"/>
          <w:marBottom w:val="0"/>
          <w:divBdr>
            <w:top w:val="none" w:sz="0" w:space="0" w:color="auto"/>
            <w:left w:val="none" w:sz="0" w:space="0" w:color="auto"/>
            <w:bottom w:val="none" w:sz="0" w:space="0" w:color="auto"/>
            <w:right w:val="none" w:sz="0" w:space="0" w:color="auto"/>
          </w:divBdr>
        </w:div>
        <w:div w:id="1038627509">
          <w:marLeft w:val="720"/>
          <w:marRight w:val="0"/>
          <w:marTop w:val="0"/>
          <w:marBottom w:val="0"/>
          <w:divBdr>
            <w:top w:val="none" w:sz="0" w:space="0" w:color="auto"/>
            <w:left w:val="none" w:sz="0" w:space="0" w:color="auto"/>
            <w:bottom w:val="none" w:sz="0" w:space="0" w:color="auto"/>
            <w:right w:val="none" w:sz="0" w:space="0" w:color="auto"/>
          </w:divBdr>
        </w:div>
      </w:divsChild>
    </w:div>
    <w:div w:id="1925068109">
      <w:bodyDiv w:val="1"/>
      <w:marLeft w:val="0"/>
      <w:marRight w:val="0"/>
      <w:marTop w:val="0"/>
      <w:marBottom w:val="0"/>
      <w:divBdr>
        <w:top w:val="none" w:sz="0" w:space="0" w:color="auto"/>
        <w:left w:val="none" w:sz="0" w:space="0" w:color="auto"/>
        <w:bottom w:val="none" w:sz="0" w:space="0" w:color="auto"/>
        <w:right w:val="none" w:sz="0" w:space="0" w:color="auto"/>
      </w:divBdr>
    </w:div>
    <w:div w:id="1971857932">
      <w:bodyDiv w:val="1"/>
      <w:marLeft w:val="0"/>
      <w:marRight w:val="0"/>
      <w:marTop w:val="0"/>
      <w:marBottom w:val="0"/>
      <w:divBdr>
        <w:top w:val="none" w:sz="0" w:space="0" w:color="auto"/>
        <w:left w:val="none" w:sz="0" w:space="0" w:color="auto"/>
        <w:bottom w:val="none" w:sz="0" w:space="0" w:color="auto"/>
        <w:right w:val="none" w:sz="0" w:space="0" w:color="auto"/>
      </w:divBdr>
    </w:div>
    <w:div w:id="2016152694">
      <w:bodyDiv w:val="1"/>
      <w:marLeft w:val="0"/>
      <w:marRight w:val="0"/>
      <w:marTop w:val="0"/>
      <w:marBottom w:val="0"/>
      <w:divBdr>
        <w:top w:val="none" w:sz="0" w:space="0" w:color="auto"/>
        <w:left w:val="none" w:sz="0" w:space="0" w:color="auto"/>
        <w:bottom w:val="none" w:sz="0" w:space="0" w:color="auto"/>
        <w:right w:val="none" w:sz="0" w:space="0" w:color="auto"/>
      </w:divBdr>
    </w:div>
    <w:div w:id="2019044241">
      <w:bodyDiv w:val="1"/>
      <w:marLeft w:val="0"/>
      <w:marRight w:val="0"/>
      <w:marTop w:val="0"/>
      <w:marBottom w:val="0"/>
      <w:divBdr>
        <w:top w:val="none" w:sz="0" w:space="0" w:color="auto"/>
        <w:left w:val="none" w:sz="0" w:space="0" w:color="auto"/>
        <w:bottom w:val="none" w:sz="0" w:space="0" w:color="auto"/>
        <w:right w:val="none" w:sz="0" w:space="0" w:color="auto"/>
      </w:divBdr>
      <w:divsChild>
        <w:div w:id="1039941527">
          <w:marLeft w:val="0"/>
          <w:marRight w:val="0"/>
          <w:marTop w:val="0"/>
          <w:marBottom w:val="0"/>
          <w:divBdr>
            <w:top w:val="none" w:sz="0" w:space="0" w:color="auto"/>
            <w:left w:val="none" w:sz="0" w:space="0" w:color="auto"/>
            <w:bottom w:val="none" w:sz="0" w:space="0" w:color="auto"/>
            <w:right w:val="none" w:sz="0" w:space="0" w:color="auto"/>
          </w:divBdr>
        </w:div>
        <w:div w:id="407771928">
          <w:marLeft w:val="0"/>
          <w:marRight w:val="0"/>
          <w:marTop w:val="0"/>
          <w:marBottom w:val="300"/>
          <w:divBdr>
            <w:top w:val="none" w:sz="0" w:space="0" w:color="auto"/>
            <w:left w:val="none" w:sz="0" w:space="0" w:color="auto"/>
            <w:bottom w:val="none" w:sz="0" w:space="0" w:color="auto"/>
            <w:right w:val="none" w:sz="0" w:space="0" w:color="auto"/>
          </w:divBdr>
        </w:div>
      </w:divsChild>
    </w:div>
    <w:div w:id="2041934584">
      <w:bodyDiv w:val="1"/>
      <w:marLeft w:val="0"/>
      <w:marRight w:val="0"/>
      <w:marTop w:val="0"/>
      <w:marBottom w:val="0"/>
      <w:divBdr>
        <w:top w:val="none" w:sz="0" w:space="0" w:color="auto"/>
        <w:left w:val="none" w:sz="0" w:space="0" w:color="auto"/>
        <w:bottom w:val="none" w:sz="0" w:space="0" w:color="auto"/>
        <w:right w:val="none" w:sz="0" w:space="0" w:color="auto"/>
      </w:divBdr>
      <w:divsChild>
        <w:div w:id="398945079">
          <w:marLeft w:val="0"/>
          <w:marRight w:val="0"/>
          <w:marTop w:val="0"/>
          <w:marBottom w:val="0"/>
          <w:divBdr>
            <w:top w:val="none" w:sz="0" w:space="0" w:color="auto"/>
            <w:left w:val="none" w:sz="0" w:space="0" w:color="auto"/>
            <w:bottom w:val="none" w:sz="0" w:space="0" w:color="auto"/>
            <w:right w:val="none" w:sz="0" w:space="0" w:color="auto"/>
          </w:divBdr>
        </w:div>
        <w:div w:id="1012606278">
          <w:marLeft w:val="0"/>
          <w:marRight w:val="0"/>
          <w:marTop w:val="0"/>
          <w:marBottom w:val="300"/>
          <w:divBdr>
            <w:top w:val="none" w:sz="0" w:space="0" w:color="auto"/>
            <w:left w:val="none" w:sz="0" w:space="0" w:color="auto"/>
            <w:bottom w:val="none" w:sz="0" w:space="0" w:color="auto"/>
            <w:right w:val="none" w:sz="0" w:space="0" w:color="auto"/>
          </w:divBdr>
        </w:div>
      </w:divsChild>
    </w:div>
    <w:div w:id="2085029209">
      <w:bodyDiv w:val="1"/>
      <w:marLeft w:val="0"/>
      <w:marRight w:val="0"/>
      <w:marTop w:val="0"/>
      <w:marBottom w:val="0"/>
      <w:divBdr>
        <w:top w:val="none" w:sz="0" w:space="0" w:color="auto"/>
        <w:left w:val="none" w:sz="0" w:space="0" w:color="auto"/>
        <w:bottom w:val="none" w:sz="0" w:space="0" w:color="auto"/>
        <w:right w:val="none" w:sz="0" w:space="0" w:color="auto"/>
      </w:divBdr>
    </w:div>
    <w:div w:id="21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343245574">
          <w:marLeft w:val="0"/>
          <w:marRight w:val="0"/>
          <w:marTop w:val="0"/>
          <w:marBottom w:val="0"/>
          <w:divBdr>
            <w:top w:val="none" w:sz="0" w:space="0" w:color="auto"/>
            <w:left w:val="none" w:sz="0" w:space="0" w:color="auto"/>
            <w:bottom w:val="none" w:sz="0" w:space="0" w:color="auto"/>
            <w:right w:val="none" w:sz="0" w:space="0" w:color="auto"/>
          </w:divBdr>
          <w:divsChild>
            <w:div w:id="179394538">
              <w:marLeft w:val="0"/>
              <w:marRight w:val="0"/>
              <w:marTop w:val="0"/>
              <w:marBottom w:val="0"/>
              <w:divBdr>
                <w:top w:val="none" w:sz="0" w:space="0" w:color="auto"/>
                <w:left w:val="none" w:sz="0" w:space="0" w:color="auto"/>
                <w:bottom w:val="none" w:sz="0" w:space="0" w:color="auto"/>
                <w:right w:val="none" w:sz="0" w:space="0" w:color="auto"/>
              </w:divBdr>
              <w:divsChild>
                <w:div w:id="1775663266">
                  <w:marLeft w:val="0"/>
                  <w:marRight w:val="0"/>
                  <w:marTop w:val="0"/>
                  <w:marBottom w:val="0"/>
                  <w:divBdr>
                    <w:top w:val="none" w:sz="0" w:space="0" w:color="auto"/>
                    <w:left w:val="none" w:sz="0" w:space="0" w:color="auto"/>
                    <w:bottom w:val="none" w:sz="0" w:space="0" w:color="auto"/>
                    <w:right w:val="none" w:sz="0" w:space="0" w:color="auto"/>
                  </w:divBdr>
                  <w:divsChild>
                    <w:div w:id="3738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ytree.com/wp-content/uploads/Welfare_in_Canada_2021.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social.un.org/publications/UN-Flagship-Report-Disability-Final.pdf" TargetMode="External"/><Relationship Id="rId18" Type="http://schemas.openxmlformats.org/officeDocument/2006/relationships/hyperlink" Target="https://financialpost.com/real-estate/average-rent-increased-10-9-per-cent-2022" TargetMode="External"/><Relationship Id="rId26" Type="http://schemas.openxmlformats.org/officeDocument/2006/relationships/hyperlink" Target="https://www.dailybread.ca/wp-content/uploads/2022/11/DB-WhosHungryReport-2022-Digital-1.pdf" TargetMode="External"/><Relationship Id="rId39" Type="http://schemas.openxmlformats.org/officeDocument/2006/relationships/hyperlink" Target="https://www.ontario.ca/page/recovery-renewal-ontarios-vision-social-assistance-transformation" TargetMode="External"/><Relationship Id="rId21" Type="http://schemas.openxmlformats.org/officeDocument/2006/relationships/hyperlink" Target="https://static1.squarespace.com/static/5e3aed3ea511ae64f3150214/t/602ef583b5ce4e1d85ec0a23/1613690538665/NHSA+Submission+-+Addressing+the++Arrears+and+Evictions+Crisis+-+CERA-NRHN-Feb.18.2021.pdf" TargetMode="External"/><Relationship Id="rId34" Type="http://schemas.openxmlformats.org/officeDocument/2006/relationships/hyperlink" Target="https://www.ontario.ca/page/social-assistance-and-caseload-statistics" TargetMode="External"/><Relationship Id="rId42" Type="http://schemas.openxmlformats.org/officeDocument/2006/relationships/hyperlink" Target="https://www.policyalternatives.ca/sites/default/files/uploads/publications/National%20Office/2021/08/Still%20picking%20up%20the%20tab.pdf" TargetMode="External"/><Relationship Id="rId47" Type="http://schemas.openxmlformats.org/officeDocument/2006/relationships/hyperlink" Target="https://www.ontario.ca/laws/regulation/980134" TargetMode="External"/><Relationship Id="rId50" Type="http://schemas.openxmlformats.org/officeDocument/2006/relationships/hyperlink" Target="https://maytree.com/wp-content/uploads/Welfare_in_Canada_2021.pdf" TargetMode="External"/><Relationship Id="rId55" Type="http://schemas.openxmlformats.org/officeDocument/2006/relationships/hyperlink" Target="https://maytree.com/wp-content/uploads/System-Transformation-in-Ontario-Works.pdf" TargetMode="External"/><Relationship Id="rId63" Type="http://schemas.openxmlformats.org/officeDocument/2006/relationships/hyperlink" Target="https://www150.statcan.gc.ca/n1/en/pub/89-654-x/89-654-x2019002-eng.pdf?st=NjjE63zT" TargetMode="External"/><Relationship Id="rId68" Type="http://schemas.openxmlformats.org/officeDocument/2006/relationships/hyperlink" Target="https://www.dailybread.ca/wp-content/uploads/2022/11/DB-WhosHungryReport-2022-Digital-1.pdf" TargetMode="External"/><Relationship Id="rId76" Type="http://schemas.openxmlformats.org/officeDocument/2006/relationships/hyperlink" Target="https://www.cbc.ca/news/canada/ottawa/ontario-legal-aid-funding-cut-1.5095058" TargetMode="External"/><Relationship Id="rId84" Type="http://schemas.openxmlformats.org/officeDocument/2006/relationships/hyperlink" Target="https://d3n8a8pro7vhmx.cloudfront.net/dwhn/pages/135/attachments/original/1604082294/DWHN_BeforeItsTooLate.pdf?1604082294" TargetMode="External"/><Relationship Id="rId89" Type="http://schemas.openxmlformats.org/officeDocument/2006/relationships/hyperlink" Target="%20https://www.oxfam.ca/news/richest-1-bag-nearly-twice-as-much-wealth-as-the-rest-of-the-world-put-together-over-the-past-two-years/.%20%20" TargetMode="External"/><Relationship Id="rId7" Type="http://schemas.openxmlformats.org/officeDocument/2006/relationships/hyperlink" Target="https://www.ontario.ca/laws/regulation/980134" TargetMode="External"/><Relationship Id="rId71" Type="http://schemas.openxmlformats.org/officeDocument/2006/relationships/hyperlink" Target="https://tribunalwatch.ca/wp-content/uploads/2023/01/The-Human-Rights-Tribunal-What-Needs-to-Happpen.pdf" TargetMode="External"/><Relationship Id="rId92" Type="http://schemas.openxmlformats.org/officeDocument/2006/relationships/hyperlink" Target="https://www.thestar.com/opinion/contributors/2021/08/31/they-deliver-food-drive-us-around-the-city-but-lack-basic-labour-rights-ontario-needs-to-give-gig-workers-access-to-protections.html" TargetMode="External"/><Relationship Id="rId2" Type="http://schemas.openxmlformats.org/officeDocument/2006/relationships/hyperlink" Target="https://www.ontario.ca/page/social-assistance-and-caseload-statistics" TargetMode="External"/><Relationship Id="rId16" Type="http://schemas.openxmlformats.org/officeDocument/2006/relationships/hyperlink" Target="https://www.toronto.ca/community-people/community-partners/social-housing-providers/affordable-housing-operators/current-city-of-toronto-average-market-rents-and-utility-allowances/" TargetMode="External"/><Relationship Id="rId29" Type="http://schemas.openxmlformats.org/officeDocument/2006/relationships/hyperlink" Target="https://www.dailybread.ca/wp-content/uploads/2022/11/DB-WhosHungryReport-2022-Digital-1.pdf" TargetMode="External"/><Relationship Id="rId11" Type="http://schemas.openxmlformats.org/officeDocument/2006/relationships/hyperlink" Target="https://maytree.com/wp-content/uploads/Welfare_in_Canada_2021.pdf" TargetMode="External"/><Relationship Id="rId24" Type="http://schemas.openxmlformats.org/officeDocument/2006/relationships/hyperlink" Target="https://feedontario.ca/wp-content/uploads/2022/11/Hunger-Report-2022-Final.pdf" TargetMode="External"/><Relationship Id="rId32" Type="http://schemas.openxmlformats.org/officeDocument/2006/relationships/hyperlink" Target="https://www.dailybread.ca/wp-content/uploads/2022/11/DB-WhosHungryReport-2022-Digital-1.pdf" TargetMode="External"/><Relationship Id="rId37" Type="http://schemas.openxmlformats.org/officeDocument/2006/relationships/hyperlink" Target="https://www.ontario.ca/files/2022-09/tbs-public-accounts-2021-22-ministry-statements-schedules-en-2022-09-23-v2.pdf" TargetMode="External"/><Relationship Id="rId40" Type="http://schemas.openxmlformats.org/officeDocument/2006/relationships/hyperlink" Target="https://www.ontario.ca/laws/regulation/980134" TargetMode="External"/><Relationship Id="rId45" Type="http://schemas.openxmlformats.org/officeDocument/2006/relationships/hyperlink" Target="https://www.ontario.ca/laws/regulation/980134" TargetMode="External"/><Relationship Id="rId53" Type="http://schemas.openxmlformats.org/officeDocument/2006/relationships/hyperlink" Target="https://www.tcu.gov.on.ca/eng/eopg/publications/est-memo-ssms-third-party-evaluation-prototype-phase-en.pdf" TargetMode="External"/><Relationship Id="rId58" Type="http://schemas.openxmlformats.org/officeDocument/2006/relationships/hyperlink" Target="https://firstwork.org/ontarios-employment-services-transformation/" TargetMode="External"/><Relationship Id="rId66" Type="http://schemas.openxmlformats.org/officeDocument/2006/relationships/hyperlink" Target="https://www.cbc.ca/news/business/marketplace-high-cell-phone-bills-1.6711205" TargetMode="External"/><Relationship Id="rId74" Type="http://schemas.openxmlformats.org/officeDocument/2006/relationships/hyperlink" Target="https://tribunalwatch.ca/wp-content/uploads/2023/01/The-Human-Rights-Tribunal-What-Needs-to-Happpen.pdf" TargetMode="External"/><Relationship Id="rId79" Type="http://schemas.openxmlformats.org/officeDocument/2006/relationships/hyperlink" Target="https://www.who.int/healthsystems/topics/financing/healthreport/SickleaveNo9FINAL.pdf" TargetMode="External"/><Relationship Id="rId87" Type="http://schemas.openxmlformats.org/officeDocument/2006/relationships/hyperlink" Target="https://www.statcan.gc.ca/en/subjects-start/prices_and_price_indexes/consumer_price_indexes" TargetMode="External"/><Relationship Id="rId5" Type="http://schemas.openxmlformats.org/officeDocument/2006/relationships/hyperlink" Target="https://maytree.com/wp-content/uploads/Social_Assistance_Summaries_All_Canada.pdf" TargetMode="External"/><Relationship Id="rId61" Type="http://schemas.openxmlformats.org/officeDocument/2006/relationships/hyperlink" Target="https://metcalffoundation.com/site/uploads/2013/12/Welfareization-of-Disability-Incomes-in-Ontario.pdf" TargetMode="External"/><Relationship Id="rId82" Type="http://schemas.openxmlformats.org/officeDocument/2006/relationships/hyperlink" Target="https://www.cmaj.ca/content/186/13/975" TargetMode="External"/><Relationship Id="rId90" Type="http://schemas.openxmlformats.org/officeDocument/2006/relationships/hyperlink" Target="https://www.justice4workers.org/minimum_wage_fact_sheet" TargetMode="External"/><Relationship Id="rId95" Type="http://schemas.openxmlformats.org/officeDocument/2006/relationships/hyperlink" Target="https://www.reuters.com/business/sustainable-business/gig-economy-riders-spain-must-become-staff-within-90-days-under-new-rule-2021-05-11/" TargetMode="External"/><Relationship Id="rId19" Type="http://schemas.openxmlformats.org/officeDocument/2006/relationships/hyperlink" Target="https://www.theglobeandmail.com/investing/personal-finance/household-finances/article-how-to-protect-yourself-against-renoviction-as-rental-markets-heat-up/" TargetMode="External"/><Relationship Id="rId14" Type="http://schemas.openxmlformats.org/officeDocument/2006/relationships/hyperlink" Target="https://maytree.com/wp-content/uploads/Welfare_in_Canada_2021.pdf" TargetMode="External"/><Relationship Id="rId22" Type="http://schemas.openxmlformats.org/officeDocument/2006/relationships/hyperlink" Target="https://cdn.dal.ca/content/dam/dalhousie/pdf/sites/agri-food/Canada%27s%20Food%20Price%20Report%202023_Digital.pdf" TargetMode="External"/><Relationship Id="rId27" Type="http://schemas.openxmlformats.org/officeDocument/2006/relationships/hyperlink" Target="https://www.dailybread.ca/wp-content/uploads/2022/11/DB-WhosHungryReport-2022-Digital-1.pdf" TargetMode="External"/><Relationship Id="rId30" Type="http://schemas.openxmlformats.org/officeDocument/2006/relationships/hyperlink" Target="http://www.ccdonline.ca/en/socialpolicy/poverty-citizenship/income-security-reform/extra-costs-linked-to-disability" TargetMode="External"/><Relationship Id="rId35" Type="http://schemas.openxmlformats.org/officeDocument/2006/relationships/hyperlink" Target="https://files.ontario.ca/tbs-public-accounts-2019-20-ministry-statements-schedules-en-2020-09-23.pdf" TargetMode="External"/><Relationship Id="rId43" Type="http://schemas.openxmlformats.org/officeDocument/2006/relationships/hyperlink" Target="https://www.ontario.ca/laws/regulation/980134" TargetMode="External"/><Relationship Id="rId48" Type="http://schemas.openxmlformats.org/officeDocument/2006/relationships/hyperlink" Target="https://www.ontario.ca/laws/regulation/980222" TargetMode="External"/><Relationship Id="rId56" Type="http://schemas.openxmlformats.org/officeDocument/2006/relationships/hyperlink" Target="https://maytree.com/wp-content/uploads/System-Transformation-in-Ontario-Works.pdf" TargetMode="External"/><Relationship Id="rId64" Type="http://schemas.openxmlformats.org/officeDocument/2006/relationships/hyperlink" Target="https://on360.ca/policy-papers/resetting-social-assistance-reform/" TargetMode="External"/><Relationship Id="rId69" Type="http://schemas.openxmlformats.org/officeDocument/2006/relationships/hyperlink" Target="https://tribunalsontario.ca/documents/TO/Tribunals_Ontario_2021-2022_Annual_Report.html" TargetMode="External"/><Relationship Id="rId77" Type="http://schemas.openxmlformats.org/officeDocument/2006/relationships/hyperlink" Target="https://cfcj-fcjc.org/wp-content/uploads/Investing-in-Justice-A-Literature-Review-in-Support-of-the-Case-for-Improved-Access-by-Lisa-Moore-and-Trevor-C-W-Farrow.pdf" TargetMode="External"/><Relationship Id="rId8" Type="http://schemas.openxmlformats.org/officeDocument/2006/relationships/hyperlink" Target="https://webmail.lao.on.ca/owa/redir.aspx?C=WY-6KtvWr45PIqBH-aAbfk_NFPjdIVZlb7t1FiQ2ZfBnK63QJeHZCA..&amp;URL=https%3a%2f%2fwww.bankofcanada.ca%2frates%2frelated%2finflation-calculator%2f" TargetMode="External"/><Relationship Id="rId51" Type="http://schemas.openxmlformats.org/officeDocument/2006/relationships/hyperlink" Target="https://www.ontario.ca/page/recovery-renewal-ontarios-vision-social-assistance-transformation" TargetMode="External"/><Relationship Id="rId72" Type="http://schemas.openxmlformats.org/officeDocument/2006/relationships/hyperlink" Target="https://www.cbc.ca/listen/live-radio/1-45-ontario-today" TargetMode="External"/><Relationship Id="rId80" Type="http://schemas.openxmlformats.org/officeDocument/2006/relationships/hyperlink" Target="https://journals.plos.org/plosone/article?id=10.1371/journal.pone.0170698" TargetMode="External"/><Relationship Id="rId85" Type="http://schemas.openxmlformats.org/officeDocument/2006/relationships/hyperlink" Target="https://d3n8a8pro7vhmx.cloudfront.net/dwhn/pages/135/attachments/original/1604082294/DWHN_BeforeItsTooLate.pdf?1604082294" TargetMode="External"/><Relationship Id="rId93" Type="http://schemas.openxmlformats.org/officeDocument/2006/relationships/hyperlink" Target="https://www.thestar.com/business/2020/04/27/app-based-food-delivery-giant-foodora-announces-exit-from-canada.html" TargetMode="External"/><Relationship Id="rId3" Type="http://schemas.openxmlformats.org/officeDocument/2006/relationships/hyperlink" Target="https://news.ontario.ca/en/release/1002475/ontario-delivers-progress-report-and-advances-its-plan-to-build" TargetMode="External"/><Relationship Id="rId12" Type="http://schemas.openxmlformats.org/officeDocument/2006/relationships/hyperlink" Target="http://www.ccdonline.ca/en/socialpolicy/poverty-citizenship/income-security-reform/extra-costs-linked-to-disability" TargetMode="External"/><Relationship Id="rId17" Type="http://schemas.openxmlformats.org/officeDocument/2006/relationships/hyperlink" Target="https://www.dailybread.ca/wp-content/uploads/2022/11/DB-WhosHungryReport-2022-Digital-1.pdf" TargetMode="External"/><Relationship Id="rId25" Type="http://schemas.openxmlformats.org/officeDocument/2006/relationships/hyperlink" Target="https://feedontario.ca/wp-content/uploads/2022/11/Hunger-Report-2022-Final.pdf" TargetMode="External"/><Relationship Id="rId33" Type="http://schemas.openxmlformats.org/officeDocument/2006/relationships/hyperlink" Target="https://proof.utoronto.ca/wp-content/uploads/2022/08/Household-Food-Insecurity-in-Canada-2021-PROOF.pdf" TargetMode="External"/><Relationship Id="rId38" Type="http://schemas.openxmlformats.org/officeDocument/2006/relationships/hyperlink" Target="https://www.fao-on.org/en/Blog/Publications/EBO-WI2023" TargetMode="External"/><Relationship Id="rId46" Type="http://schemas.openxmlformats.org/officeDocument/2006/relationships/hyperlink" Target="https://www.ontario.ca/laws/regulation/980222" TargetMode="External"/><Relationship Id="rId59" Type="http://schemas.openxmlformats.org/officeDocument/2006/relationships/hyperlink" Target="https://firstwork.org/ontarios-employment-services-transformation/" TargetMode="External"/><Relationship Id="rId67" Type="http://schemas.openxmlformats.org/officeDocument/2006/relationships/hyperlink" Target="https://nationalpost.com/news/canada/canadas-wireless-costs-continue-to-be-the-highest-or-among-the-highest-in-the-world-finnish-report" TargetMode="External"/><Relationship Id="rId20" Type="http://schemas.openxmlformats.org/officeDocument/2006/relationships/hyperlink" Target="https://www.thestar.com/news/gta/2022/11/29/why-more-toronto-landlords-are-moving-to-evict-renters-from-units-for-their-own-use.html" TargetMode="External"/><Relationship Id="rId41" Type="http://schemas.openxmlformats.org/officeDocument/2006/relationships/hyperlink" Target="https://www.ontario.ca/laws/regulation/980222" TargetMode="External"/><Relationship Id="rId54" Type="http://schemas.openxmlformats.org/officeDocument/2006/relationships/hyperlink" Target="https://www.bankofcanada.ca/rates/related/inflation-calculator/" TargetMode="External"/><Relationship Id="rId62" Type="http://schemas.openxmlformats.org/officeDocument/2006/relationships/hyperlink" Target="http://incomesecurity.org/policy-advocacy/odsp-expenditures-have-increased-because-the-program-is-better-meeting-the-needs-of-ontarians-with-disabilities-isac-responds-to-the-auditor-generals-report/" TargetMode="External"/><Relationship Id="rId70" Type="http://schemas.openxmlformats.org/officeDocument/2006/relationships/hyperlink" Target="https://tribunalsontario.ca/documents/TO/Tribunals_Ontario_2021-2022_Annual_Report.html" TargetMode="External"/><Relationship Id="rId75" Type="http://schemas.openxmlformats.org/officeDocument/2006/relationships/hyperlink" Target="https://tribunalwatch.ca/wp-content/uploads/2023/01/The-Human-Rights-Tribunal-What-Needs-to-Happpen.pdf" TargetMode="External"/><Relationship Id="rId83" Type="http://schemas.openxmlformats.org/officeDocument/2006/relationships/hyperlink" Target="https://pubmed.ncbi.nlm.nih.gov/26851064/" TargetMode="External"/><Relationship Id="rId88" Type="http://schemas.openxmlformats.org/officeDocument/2006/relationships/hyperlink" Target="https://feedontario.ca/wp-content/uploads/2021/11/Hunger-Report-2021-Digital.pdf" TargetMode="External"/><Relationship Id="rId91" Type="http://schemas.openxmlformats.org/officeDocument/2006/relationships/hyperlink" Target="https://data.oecd.org/hha/household-spending.htm" TargetMode="External"/><Relationship Id="rId96" Type="http://schemas.openxmlformats.org/officeDocument/2006/relationships/hyperlink" Target="https://www.epi.org/publication/misclassification-the-abc-test-and-employee-status-the-california-experience-and-its-relevance-to-current-policy-debates/" TargetMode="External"/><Relationship Id="rId1" Type="http://schemas.openxmlformats.org/officeDocument/2006/relationships/hyperlink" Target="https://www.statcan.gc.ca/en/subjects-start/prices_and_price_indexes/consumer_price_indexes" TargetMode="External"/><Relationship Id="rId6" Type="http://schemas.openxmlformats.org/officeDocument/2006/relationships/hyperlink" Target="https://www.ontario.ca/laws/regulation/980222" TargetMode="External"/><Relationship Id="rId15" Type="http://schemas.openxmlformats.org/officeDocument/2006/relationships/hyperlink" Target="https://www.policyalternatives.ca/sites/default/files/uploads/publications/Ontario%20Office/2021/11/Poverty%20in%20the%20midst%20of%20plenty%20EN_FINAL.pdf" TargetMode="External"/><Relationship Id="rId23" Type="http://schemas.openxmlformats.org/officeDocument/2006/relationships/hyperlink" Target="https://feedontario.ca/wp-content/uploads/2022/11/Hunger-Report-2022-Final.pdf" TargetMode="External"/><Relationship Id="rId28" Type="http://schemas.openxmlformats.org/officeDocument/2006/relationships/hyperlink" Target="https://feedontario.ca/wp-content/uploads/2022/11/Hunger-Report-2022-Final.pdf" TargetMode="External"/><Relationship Id="rId36" Type="http://schemas.openxmlformats.org/officeDocument/2006/relationships/hyperlink" Target="https://files.ontario.ca/tbs-public-accounts-2020-21-ministry-statements-schedules-en-2021-09-23-v3a.pdf" TargetMode="External"/><Relationship Id="rId49" Type="http://schemas.openxmlformats.org/officeDocument/2006/relationships/hyperlink" Target="https://www.ontario.ca/laws/statute/90f03" TargetMode="External"/><Relationship Id="rId57" Type="http://schemas.openxmlformats.org/officeDocument/2006/relationships/hyperlink" Target="https://firstwork.org/ontarios-employment-services-transformation/" TargetMode="External"/><Relationship Id="rId10" Type="http://schemas.openxmlformats.org/officeDocument/2006/relationships/hyperlink" Target="https://www150.statcan.gc.ca/t1/tbl1/en/tv.action?pid=1110006601" TargetMode="External"/><Relationship Id="rId31" Type="http://schemas.openxmlformats.org/officeDocument/2006/relationships/hyperlink" Target="https://www.dailybread.ca/wp-content/uploads/2022/11/DB-WhosHungryReport-2022-Digital-1.pdf" TargetMode="External"/><Relationship Id="rId44" Type="http://schemas.openxmlformats.org/officeDocument/2006/relationships/hyperlink" Target="https://www.ontario.ca/laws/regulation/980222" TargetMode="External"/><Relationship Id="rId52" Type="http://schemas.openxmlformats.org/officeDocument/2006/relationships/hyperlink" Target="https://firstwork.org/ontarios-employment-services-transformation/" TargetMode="External"/><Relationship Id="rId60" Type="http://schemas.openxmlformats.org/officeDocument/2006/relationships/hyperlink" Target="https://maytree.com/wp-content/uploads/System-Transformation-in-Ontario-Works.pdf" TargetMode="External"/><Relationship Id="rId65" Type="http://schemas.openxmlformats.org/officeDocument/2006/relationships/hyperlink" Target="https://files.ontario.ca/accessibility_compliance_and_enforcement_report_2017.pdf" TargetMode="External"/><Relationship Id="rId73" Type="http://schemas.openxmlformats.org/officeDocument/2006/relationships/hyperlink" Target="https://www.thestar.com/opinion/contributors/2023/01/11/ontarians-human-rights-are-at-risk-because-the-system-designed-to-protect-them-is-broken.html" TargetMode="External"/><Relationship Id="rId78" Type="http://schemas.openxmlformats.org/officeDocument/2006/relationships/hyperlink" Target="https://www.thestar.com/news/analysis/2022/12/27/why-in-ontario-and-in-canada-this-became-covids-deadliest-year.html" TargetMode="External"/><Relationship Id="rId81" Type="http://schemas.openxmlformats.org/officeDocument/2006/relationships/hyperlink" Target="https://d3n8a8pro7vhmx.cloudfront.net/dwhn/pages/135/attachments/original/1604082294/DWHN_BeforeItsTooLate.pdf?1604082294" TargetMode="External"/><Relationship Id="rId86" Type="http://schemas.openxmlformats.org/officeDocument/2006/relationships/hyperlink" Target="https://www.wellesleyinstitute.com/wp-content/uploads/2021/08/Tracking-COVID-19-Through-Race-Based-Data_eng.pdf" TargetMode="External"/><Relationship Id="rId94" Type="http://schemas.openxmlformats.org/officeDocument/2006/relationships/hyperlink" Target="https://www.bbc.com/news/business-56123668" TargetMode="External"/><Relationship Id="rId4" Type="http://schemas.openxmlformats.org/officeDocument/2006/relationships/hyperlink" Target="https://maytree.com/wp-content/uploads/Social_Assistance_Summaries_All_Canada.pdf" TargetMode="External"/><Relationship Id="rId9" Type="http://schemas.openxmlformats.org/officeDocument/2006/relationships/hyperlink" Target="https://www150.statcan.gc.ca/t1/tbl1/en/tv.action?pid=1110006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68CE-02A9-474D-8CD8-B4C6047C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7455</Words>
  <Characters>42498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LAO</Company>
  <LinksUpToDate>false</LinksUpToDate>
  <CharactersWithSpaces>49854</CharactersWithSpaces>
  <SharedDoc>false</SharedDoc>
  <HLinks>
    <vt:vector size="18" baseType="variant">
      <vt:variant>
        <vt:i4>1048579</vt:i4>
      </vt:variant>
      <vt:variant>
        <vt:i4>-1</vt:i4>
      </vt:variant>
      <vt:variant>
        <vt:i4>2049</vt:i4>
      </vt:variant>
      <vt:variant>
        <vt:i4>1</vt:i4>
      </vt:variant>
      <vt:variant>
        <vt:lpwstr>E:\clients\Income_Security_Advocacy_Centre\letterhead\isac_leftnew.tif</vt:lpwstr>
      </vt:variant>
      <vt:variant>
        <vt:lpwstr/>
      </vt:variant>
      <vt:variant>
        <vt:i4>6225996</vt:i4>
      </vt:variant>
      <vt:variant>
        <vt:i4>-1</vt:i4>
      </vt:variant>
      <vt:variant>
        <vt:i4>2052</vt:i4>
      </vt:variant>
      <vt:variant>
        <vt:i4>1</vt:i4>
      </vt:variant>
      <vt:variant>
        <vt:lpwstr>E:\clients\Income_Security_Advocacy_Centre\letterhead\web_bottom.tif</vt:lpwstr>
      </vt:variant>
      <vt:variant>
        <vt:lpwstr/>
      </vt:variant>
      <vt:variant>
        <vt:i4>6225996</vt:i4>
      </vt:variant>
      <vt:variant>
        <vt:i4>-1</vt:i4>
      </vt:variant>
      <vt:variant>
        <vt:i4>2053</vt:i4>
      </vt:variant>
      <vt:variant>
        <vt:i4>1</vt:i4>
      </vt:variant>
      <vt:variant>
        <vt:lpwstr>E:\clients\Income_Security_Advocacy_Centre\letterhead\web_bottom.tif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j_laidley</dc:creator>
  <cp:keywords/>
  <dc:description/>
  <cp:lastModifiedBy>Claudia Calabro</cp:lastModifiedBy>
  <cp:revision>7</cp:revision>
  <cp:lastPrinted>2021-02-12T22:45:00Z</cp:lastPrinted>
  <dcterms:created xsi:type="dcterms:W3CDTF">2023-02-10T18:01:00Z</dcterms:created>
  <dcterms:modified xsi:type="dcterms:W3CDTF">2023-02-10T19:52:00Z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667722835</vt:i4>
  </property>
</Properties>
</file>